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9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751"/>
        <w:gridCol w:w="975"/>
        <w:gridCol w:w="1050"/>
        <w:gridCol w:w="1087"/>
        <w:gridCol w:w="975"/>
        <w:gridCol w:w="1088"/>
        <w:gridCol w:w="1744"/>
        <w:gridCol w:w="1153"/>
        <w:gridCol w:w="650"/>
        <w:gridCol w:w="635"/>
        <w:gridCol w:w="675"/>
        <w:gridCol w:w="580"/>
        <w:gridCol w:w="807"/>
        <w:gridCol w:w="693"/>
        <w:gridCol w:w="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8" w:lineRule="exact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2"/>
                <w:szCs w:val="32"/>
                <w:lang w:val="en-US" w:eastAsia="zh-CN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7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pacing w:val="0"/>
                <w:w w:val="100"/>
                <w:kern w:val="0"/>
                <w:position w:val="0"/>
                <w:sz w:val="44"/>
                <w:szCs w:val="44"/>
                <w:u w:val="single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016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" cy="1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0.8pt;width:0.75pt;z-index:251658240;mso-width-relative:page;mso-height-relative:page;" filled="f" stroked="f" coordsize="21600,21600" o:gfxdata="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4/BrA9IAAAABAQAADwAAAAAAAAABACAAAAAiAAAAZHJzL2Rvd25yZXYueG1s&#10;UEsBAhQAFAAAAAgAh07iQEXErAeMAQAAAAMAAA4AAAAAAAAAAQAgAAAAIQEAAGRycy9lMm9Eb2Mu&#10;eG1sUEsFBgAAAAAGAAYAWQEAAB8F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pacing w:val="0"/>
                <w:w w:val="100"/>
                <w:kern w:val="0"/>
                <w:position w:val="0"/>
                <w:sz w:val="44"/>
                <w:szCs w:val="44"/>
                <w:u w:val="single"/>
                <w:lang w:val="en-US" w:eastAsia="zh-CN" w:bidi="ar"/>
              </w:rPr>
              <w:t xml:space="preserve">       年    季度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pacing w:val="0"/>
                <w:w w:val="100"/>
                <w:kern w:val="0"/>
                <w:position w:val="0"/>
                <w:sz w:val="44"/>
                <w:szCs w:val="44"/>
                <w:u w:val="none"/>
                <w:lang w:val="zh-TW" w:eastAsia="zh-CN" w:bidi="ar"/>
              </w:rPr>
              <w:t>统计执法检查信息台账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t>填报单位：三亚市统计局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t>填报期间内已开展现场检查但未结案单位数：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t>填报人及联系方式：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t>填报时间：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省（自治区、直辖市）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市(地、州、盟)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县(市、区、旗)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执法检查人员A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执法检查人员B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执法证号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时间（发出行政处罚决定书的按决定书时间填写。未立案、未处罚、未结案的按检查时间填写并在备注中说明。）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被检查企业（项目）名称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检查专业（指标）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执法检查信息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是否立案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后期处理情况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案件来源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</w:p>
        </w:tc>
        <w:tc>
          <w:tcPr>
            <w:tcW w:w="134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t>1.市、县、区统计局3月、6月、9月、12月8日前填写报省局执法处，本表填写的案件必须为由2名及以上持国家统计执法证人员开展的执法案件。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t>2.执法检查人员为2名以上的，在备注中注明。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t>3.时间：按检查时间填写。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t>4.检查专业超过一个的，逐一列明。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2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t>5.“执法检查信息”填写：1.未发现统计违法行为；2.提供不真实或者不完整的统计资料；3.拒绝提供统计资料或者经催报后仍未按时提供统计资料；4.拒绝答复或者不如实答复统计检查查询书；5.存在拒绝、阻碍统计调查、统计检查；6.未按照国家有关规定设置原始记录、统计台账；7.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t>6.“后期处理情况”填写：1.行政处罚情况；2.严重失信企业认定情况；3.其他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t>7.“案件来源”填写：1.国家统计局转交或移交案件；2.国家统计局转办的统计违法举报线索；3.自身受理的统计违法举报；4.“双随机”抽查；5.其他。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p/>
    <w:sectPr>
      <w:pgSz w:w="16838" w:h="11909" w:orient="landscape"/>
      <w:pgMar w:top="1797" w:right="1625" w:bottom="1774" w:left="1625" w:header="0" w:footer="6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altName w:val="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62BAA"/>
    <w:rsid w:val="27E64215"/>
    <w:rsid w:val="5A562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zh-TW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2023-04-25T16:21:00Z</dcterms:created>
  <dc:creator>uos</dc:creator>
  <cp:lastModifiedBy>Administrator</cp:lastModifiedBy>
  <dcterms:modified xsi:type="dcterms:W3CDTF">2023-04-25T08:40:39Z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