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附件2</w:t>
      </w:r>
    </w:p>
    <w:p>
      <w:pPr>
        <w:spacing w:line="578" w:lineRule="exact"/>
        <w:jc w:val="center"/>
        <w:rPr>
          <w:rFonts w:ascii="方正小标宋简体" w:hAnsi="方正小标宋简体" w:eastAsia="方正小标宋简体" w:cs="方正小标宋简体"/>
          <w:sz w:val="44"/>
          <w:szCs w:val="44"/>
        </w:rPr>
      </w:pPr>
    </w:p>
    <w:p>
      <w:pPr>
        <w:spacing w:line="578" w:lineRule="exact"/>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相关人才统计指标解释</w:t>
      </w:r>
    </w:p>
    <w:p>
      <w:pPr>
        <w:spacing w:line="578" w:lineRule="exact"/>
        <w:jc w:val="center"/>
        <w:rPr>
          <w:rFonts w:ascii="方正小标宋简体" w:hAnsi="方正小标宋简体" w:eastAsia="方正小标宋简体" w:cs="方正小标宋简体"/>
          <w:sz w:val="44"/>
          <w:szCs w:val="44"/>
        </w:rPr>
      </w:pPr>
    </w:p>
    <w:p>
      <w:pPr>
        <w:spacing w:line="578" w:lineRule="exact"/>
        <w:ind w:firstLine="643" w:firstLineChars="200"/>
        <w:rPr>
          <w:rFonts w:ascii="仿宋" w:hAnsi="仿宋" w:eastAsia="仿宋" w:cs="仿宋"/>
          <w:sz w:val="32"/>
          <w:szCs w:val="32"/>
        </w:rPr>
      </w:pPr>
      <w:r>
        <w:rPr>
          <w:rFonts w:hint="eastAsia" w:ascii="仿宋" w:hAnsi="仿宋" w:eastAsia="仿宋" w:cs="仿宋"/>
          <w:b/>
          <w:sz w:val="32"/>
          <w:szCs w:val="32"/>
        </w:rPr>
        <w:t>1.企业经营管理人才：</w:t>
      </w:r>
      <w:r>
        <w:rPr>
          <w:rFonts w:hint="eastAsia" w:ascii="仿宋" w:hAnsi="仿宋" w:eastAsia="仿宋" w:cs="仿宋"/>
          <w:sz w:val="32"/>
          <w:szCs w:val="32"/>
        </w:rPr>
        <w:t>指在各个企业经营管理岗位工作的人员，包括出资人代表、经营管理人员、党群工作者。</w:t>
      </w:r>
    </w:p>
    <w:p>
      <w:pPr>
        <w:spacing w:line="578" w:lineRule="exact"/>
        <w:ind w:firstLine="640" w:firstLineChars="200"/>
        <w:rPr>
          <w:rFonts w:ascii="仿宋" w:hAnsi="仿宋" w:eastAsia="仿宋" w:cs="仿宋"/>
          <w:sz w:val="32"/>
          <w:szCs w:val="32"/>
        </w:rPr>
      </w:pPr>
      <w:r>
        <w:rPr>
          <w:rFonts w:hint="eastAsia" w:ascii="仿宋" w:hAnsi="仿宋" w:eastAsia="仿宋" w:cs="仿宋"/>
          <w:sz w:val="32"/>
          <w:szCs w:val="32"/>
        </w:rPr>
        <w:t>出资人代表指出资人任命或推荐任职的董事、监事。</w:t>
      </w:r>
    </w:p>
    <w:p>
      <w:pPr>
        <w:spacing w:line="578" w:lineRule="exact"/>
        <w:ind w:firstLine="640" w:firstLineChars="200"/>
        <w:rPr>
          <w:rFonts w:ascii="仿宋" w:hAnsi="仿宋" w:eastAsia="仿宋" w:cs="仿宋"/>
          <w:sz w:val="32"/>
          <w:szCs w:val="32"/>
        </w:rPr>
      </w:pPr>
      <w:r>
        <w:rPr>
          <w:rFonts w:hint="eastAsia" w:ascii="仿宋" w:hAnsi="仿宋" w:eastAsia="仿宋" w:cs="仿宋"/>
          <w:sz w:val="32"/>
          <w:szCs w:val="32"/>
        </w:rPr>
        <w:t>经营管理人员指具体从事经营管理活动的人员，包括各级经理人以及具体从事规划计划、人力资源管理、市场营销、资本运营、财务审计、生产管理、法律事务、质量安全环保、行政管理等业务工作的人员。</w:t>
      </w:r>
    </w:p>
    <w:p>
      <w:pPr>
        <w:pStyle w:val="2"/>
        <w:spacing w:line="578" w:lineRule="exact"/>
        <w:ind w:firstLine="640" w:firstLineChars="200"/>
        <w:rPr>
          <w:rFonts w:ascii="仿宋" w:hAnsi="仿宋" w:eastAsia="仿宋" w:cs="仿宋"/>
          <w:sz w:val="32"/>
          <w:szCs w:val="32"/>
        </w:rPr>
      </w:pPr>
      <w:r>
        <w:rPr>
          <w:rFonts w:hint="eastAsia" w:ascii="仿宋" w:hAnsi="仿宋" w:eastAsia="仿宋" w:cs="仿宋"/>
          <w:sz w:val="32"/>
          <w:szCs w:val="32"/>
        </w:rPr>
        <w:t>党群工作者指主要从事党务、纪检监察、工会、共青团、老干部、企业文化建设等工作的人员。</w:t>
      </w:r>
    </w:p>
    <w:p>
      <w:pPr>
        <w:spacing w:line="578" w:lineRule="exact"/>
        <w:ind w:firstLine="643" w:firstLineChars="200"/>
        <w:rPr>
          <w:rFonts w:ascii="仿宋" w:hAnsi="仿宋" w:eastAsia="仿宋" w:cs="仿宋"/>
          <w:sz w:val="32"/>
          <w:szCs w:val="32"/>
        </w:rPr>
      </w:pPr>
      <w:r>
        <w:rPr>
          <w:rFonts w:hint="eastAsia" w:ascii="仿宋" w:hAnsi="仿宋" w:eastAsia="仿宋" w:cs="仿宋"/>
          <w:b/>
          <w:sz w:val="32"/>
          <w:szCs w:val="32"/>
        </w:rPr>
        <w:t>2.专业技术人才</w:t>
      </w:r>
      <w:r>
        <w:rPr>
          <w:rFonts w:hint="eastAsia" w:ascii="仿宋" w:hAnsi="仿宋" w:eastAsia="仿宋" w:cs="仿宋"/>
          <w:sz w:val="32"/>
          <w:szCs w:val="32"/>
        </w:rPr>
        <w:t>：指具有专业技术职称和没有专业技术职称但在专业技术岗位上工作的人员。</w:t>
      </w:r>
    </w:p>
    <w:p>
      <w:pPr>
        <w:spacing w:line="578" w:lineRule="exact"/>
        <w:ind w:firstLine="643" w:firstLineChars="200"/>
        <w:rPr>
          <w:rFonts w:ascii="仿宋" w:hAnsi="仿宋" w:eastAsia="仿宋" w:cs="仿宋"/>
          <w:sz w:val="32"/>
          <w:szCs w:val="32"/>
        </w:rPr>
      </w:pPr>
      <w:r>
        <w:rPr>
          <w:rFonts w:hint="eastAsia" w:ascii="仿宋" w:hAnsi="仿宋" w:eastAsia="仿宋" w:cs="仿宋"/>
          <w:b/>
          <w:sz w:val="32"/>
          <w:szCs w:val="32"/>
        </w:rPr>
        <w:t>3.技能人才</w:t>
      </w:r>
      <w:r>
        <w:rPr>
          <w:rFonts w:hint="eastAsia" w:ascii="仿宋" w:hAnsi="仿宋" w:eastAsia="仿宋" w:cs="仿宋"/>
          <w:sz w:val="32"/>
          <w:szCs w:val="32"/>
        </w:rPr>
        <w:t>：指在生产或服务一线从事技能操作、具有一定技能水平的人员。</w:t>
      </w:r>
    </w:p>
    <w:p>
      <w:pPr>
        <w:spacing w:line="578" w:lineRule="exact"/>
        <w:ind w:firstLine="640" w:firstLineChars="200"/>
        <w:rPr>
          <w:rFonts w:ascii="仿宋" w:hAnsi="仿宋" w:eastAsia="仿宋" w:cs="仿宋"/>
          <w:color w:val="333333"/>
          <w:kern w:val="0"/>
          <w:sz w:val="32"/>
          <w:szCs w:val="32"/>
          <w:shd w:val="clear" w:color="auto" w:fill="FFFFFF"/>
        </w:rPr>
      </w:pPr>
      <w:r>
        <w:rPr>
          <w:rFonts w:hint="eastAsia" w:ascii="仿宋" w:hAnsi="仿宋" w:eastAsia="仿宋" w:cs="仿宋"/>
          <w:sz w:val="32"/>
          <w:szCs w:val="32"/>
        </w:rPr>
        <w:t>注:企业一线的生产或服务人员,是否具有一定技能水平,由企业自行认定。</w:t>
      </w:r>
    </w:p>
    <w:p>
      <w:bookmarkStart w:id="0" w:name="_GoBack"/>
      <w:bookmarkEnd w:id="0"/>
    </w:p>
    <w:sectPr>
      <w:footerReference r:id="rId3" w:type="default"/>
      <w:pgSz w:w="11906" w:h="16838"/>
      <w:pgMar w:top="1757" w:right="1587" w:bottom="1757" w:left="1587" w:header="851" w:footer="992" w:gutter="0"/>
      <w:pgNumType w:fmt="numberInDash"/>
      <w:cols w:space="720" w:num="1"/>
      <w:titlePg/>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0000000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  \* MERGEFORMAT </w:instrText>
                          </w:r>
                          <w:r>
                            <w:rPr>
                              <w:rFonts w:hint="eastAsia" w:ascii="黑体" w:hAnsi="黑体" w:eastAsia="黑体" w:cs="黑体"/>
                              <w:sz w:val="28"/>
                              <w:szCs w:val="28"/>
                            </w:rPr>
                            <w:fldChar w:fldCharType="separate"/>
                          </w:r>
                          <w:r>
                            <w:rPr>
                              <w:rFonts w:ascii="黑体" w:hAnsi="黑体" w:eastAsia="黑体" w:cs="黑体"/>
                              <w:sz w:val="28"/>
                              <w:szCs w:val="28"/>
                            </w:rPr>
                            <w:t>- 2 -</w:t>
                          </w:r>
                          <w:r>
                            <w:rPr>
                              <w:rFonts w:hint="eastAsia" w:ascii="黑体" w:hAnsi="黑体" w:eastAsia="黑体" w:cs="黑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path/>
              <v:fill on="f" focussize="0,0"/>
              <v:stroke on="f" weight="0.5pt"/>
              <v:imagedata o:title=""/>
              <o:lock v:ext="edit"/>
              <v:textbox inset="0mm,0mm,0mm,0mm" style="mso-fit-shape-to-text:t;">
                <w:txbxContent>
                  <w:p>
                    <w:pPr>
                      <w:snapToGrid w:val="0"/>
                      <w:rPr>
                        <w:rFonts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  \* MERGEFORMAT </w:instrText>
                    </w:r>
                    <w:r>
                      <w:rPr>
                        <w:rFonts w:hint="eastAsia" w:ascii="黑体" w:hAnsi="黑体" w:eastAsia="黑体" w:cs="黑体"/>
                        <w:sz w:val="28"/>
                        <w:szCs w:val="28"/>
                      </w:rPr>
                      <w:fldChar w:fldCharType="separate"/>
                    </w:r>
                    <w:r>
                      <w:rPr>
                        <w:rFonts w:ascii="黑体" w:hAnsi="黑体" w:eastAsia="黑体" w:cs="黑体"/>
                        <w:sz w:val="28"/>
                        <w:szCs w:val="28"/>
                      </w:rPr>
                      <w:t>- 2 -</w:t>
                    </w:r>
                    <w:r>
                      <w:rPr>
                        <w:rFonts w:hint="eastAsia" w:ascii="黑体" w:hAnsi="黑体" w:eastAsia="黑体" w:cs="黑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0603FD"/>
    <w:rsid w:val="360603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99"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Salutation"/>
    <w:basedOn w:val="1"/>
    <w:next w:val="1"/>
    <w:qFormat/>
    <w:uiPriority w:val="99"/>
    <w:pPr>
      <w:textAlignment w:val="baseline"/>
    </w:p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吉阳区</Company>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2023-08-21T07:51:00Z</dcterms:created>
  <dc:creator>Administrator</dc:creator>
  <cp:lastModifiedBy>Administrator</cp:lastModifiedBy>
  <dcterms:modified xsi:type="dcterms:W3CDTF">2023-08-21T07:51:11Z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