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40"/>
        <w:rPr>
          <w:rFonts w:hint="default" w:ascii="仿宋_GB2312" w:hAnsi="仿宋_GB2312" w:eastAsia="黑体" w:cs="仿宋_GB2312"/>
          <w:sz w:val="32"/>
          <w:szCs w:val="32"/>
          <w:lang w:eastAsia="zh-CN"/>
        </w:rPr>
      </w:pPr>
      <w:r>
        <w:rPr>
          <w:rFonts w:hint="eastAsia" w:ascii="黑体" w:hAnsi="黑体" w:eastAsia="黑体" w:cs="黑体"/>
          <w:sz w:val="32"/>
          <w:szCs w:val="32"/>
        </w:rPr>
        <w:t>附件</w:t>
      </w:r>
    </w:p>
    <w:p>
      <w:pPr>
        <w:ind w:left="240"/>
        <w:rPr>
          <w:rFonts w:ascii="黑体" w:hAnsi="黑体" w:eastAsia="黑体" w:cs="黑体"/>
          <w:sz w:val="48"/>
          <w:szCs w:val="48"/>
        </w:rPr>
      </w:pPr>
      <w:r>
        <w:rPr>
          <w:rFonts w:ascii="黑体" w:hAnsi="黑体" w:eastAsia="黑体" w:cs="黑体"/>
          <w:sz w:val="48"/>
          <w:szCs w:val="48"/>
        </w:rPr>
        <w:t xml:space="preserve">     </w:t>
      </w:r>
    </w:p>
    <w:p>
      <w:pPr>
        <w:snapToGrid w:val="0"/>
        <w:spacing w:line="360" w:lineRule="auto"/>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val="en-US" w:eastAsia="zh-CN"/>
        </w:rPr>
        <w:t>2024年度</w:t>
      </w:r>
      <w:r>
        <w:rPr>
          <w:rFonts w:hint="eastAsia" w:ascii="方正小标宋_GBK" w:hAnsi="方正小标宋_GBK" w:eastAsia="方正小标宋_GBK" w:cs="方正小标宋_GBK"/>
          <w:b w:val="0"/>
          <w:bCs/>
          <w:sz w:val="44"/>
          <w:szCs w:val="44"/>
        </w:rPr>
        <w:t>三亚市</w:t>
      </w:r>
      <w:r>
        <w:rPr>
          <w:rFonts w:hint="eastAsia" w:ascii="方正小标宋_GBK" w:hAnsi="方正小标宋_GBK" w:eastAsia="方正小标宋_GBK" w:cs="方正小标宋_GBK"/>
          <w:b w:val="0"/>
          <w:bCs/>
          <w:sz w:val="44"/>
          <w:szCs w:val="44"/>
          <w:lang w:val="en-US" w:eastAsia="zh-CN"/>
        </w:rPr>
        <w:t>天涯区</w:t>
      </w:r>
      <w:r>
        <w:rPr>
          <w:rFonts w:hint="eastAsia" w:ascii="方正小标宋_GBK" w:hAnsi="方正小标宋_GBK" w:eastAsia="方正小标宋_GBK" w:cs="方正小标宋_GBK"/>
          <w:b w:val="0"/>
          <w:bCs/>
          <w:sz w:val="44"/>
          <w:szCs w:val="44"/>
          <w:lang w:eastAsia="zh-CN"/>
        </w:rPr>
        <w:t>综合考核社会评价</w:t>
      </w:r>
    </w:p>
    <w:p>
      <w:pPr>
        <w:snapToGrid w:val="0"/>
        <w:spacing w:line="36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调查</w:t>
      </w:r>
      <w:bookmarkStart w:id="102" w:name="_GoBack"/>
      <w:bookmarkEnd w:id="102"/>
      <w:r>
        <w:rPr>
          <w:rFonts w:hint="eastAsia" w:ascii="方正小标宋_GBK" w:hAnsi="方正小标宋_GBK" w:eastAsia="方正小标宋_GBK" w:cs="方正小标宋_GBK"/>
          <w:b w:val="0"/>
          <w:bCs/>
          <w:sz w:val="44"/>
          <w:szCs w:val="44"/>
          <w:lang w:eastAsia="zh-CN"/>
        </w:rPr>
        <w:t>方案</w:t>
      </w:r>
    </w:p>
    <w:p>
      <w:pPr>
        <w:ind w:left="240"/>
        <w:rPr>
          <w:rFonts w:ascii="黑体" w:hAnsi="黑体" w:eastAsia="黑体"/>
          <w:sz w:val="48"/>
          <w:szCs w:val="48"/>
        </w:rPr>
      </w:pPr>
    </w:p>
    <w:p>
      <w:pPr>
        <w:ind w:left="240"/>
        <w:rPr>
          <w:rFonts w:ascii="黑体" w:hAnsi="黑体" w:eastAsia="黑体"/>
          <w:sz w:val="48"/>
          <w:szCs w:val="48"/>
        </w:rPr>
      </w:pPr>
    </w:p>
    <w:p>
      <w:pPr>
        <w:ind w:left="240"/>
        <w:rPr>
          <w:rFonts w:ascii="黑体" w:hAnsi="黑体" w:eastAsia="黑体"/>
          <w:sz w:val="48"/>
          <w:szCs w:val="48"/>
        </w:rPr>
      </w:pPr>
    </w:p>
    <w:p>
      <w:pPr>
        <w:ind w:left="240"/>
        <w:rPr>
          <w:rFonts w:ascii="黑体" w:hAnsi="黑体" w:eastAsia="黑体"/>
          <w:sz w:val="48"/>
          <w:szCs w:val="48"/>
        </w:rPr>
      </w:pPr>
    </w:p>
    <w:p>
      <w:pPr>
        <w:ind w:left="240"/>
        <w:rPr>
          <w:rFonts w:ascii="黑体" w:hAnsi="黑体" w:eastAsia="黑体"/>
          <w:sz w:val="48"/>
          <w:szCs w:val="48"/>
        </w:rPr>
      </w:pPr>
    </w:p>
    <w:p>
      <w:pPr>
        <w:ind w:left="240"/>
        <w:rPr>
          <w:rFonts w:ascii="黑体" w:hAnsi="黑体" w:eastAsia="黑体"/>
          <w:sz w:val="48"/>
          <w:szCs w:val="48"/>
        </w:rPr>
      </w:pPr>
    </w:p>
    <w:p>
      <w:pPr>
        <w:ind w:left="240"/>
        <w:rPr>
          <w:rFonts w:ascii="黑体" w:hAnsi="黑体" w:eastAsia="黑体"/>
          <w:sz w:val="48"/>
          <w:szCs w:val="48"/>
        </w:rPr>
      </w:pPr>
    </w:p>
    <w:p>
      <w:pPr>
        <w:ind w:left="240"/>
        <w:rPr>
          <w:rFonts w:ascii="黑体" w:hAnsi="黑体" w:eastAsia="黑体"/>
          <w:sz w:val="48"/>
          <w:szCs w:val="48"/>
        </w:rPr>
      </w:pPr>
    </w:p>
    <w:p>
      <w:pPr>
        <w:ind w:left="240"/>
        <w:rPr>
          <w:rFonts w:ascii="黑体" w:hAnsi="黑体" w:eastAsia="黑体"/>
          <w:sz w:val="48"/>
          <w:szCs w:val="48"/>
        </w:rPr>
      </w:pPr>
    </w:p>
    <w:p>
      <w:pPr>
        <w:jc w:val="center"/>
        <w:rPr>
          <w:rFonts w:hint="default" w:ascii="黑体" w:hAnsi="黑体" w:eastAsia="黑体"/>
          <w:sz w:val="36"/>
          <w:szCs w:val="36"/>
        </w:rPr>
      </w:pPr>
      <w:r>
        <w:rPr>
          <w:rFonts w:hint="eastAsia" w:ascii="黑体" w:hAnsi="黑体" w:eastAsia="黑体" w:cs="黑体"/>
          <w:sz w:val="36"/>
          <w:szCs w:val="36"/>
        </w:rPr>
        <w:t>三亚市</w:t>
      </w:r>
      <w:r>
        <w:rPr>
          <w:rFonts w:hint="eastAsia" w:ascii="黑体" w:hAnsi="黑体" w:eastAsia="黑体" w:cs="黑体"/>
          <w:sz w:val="36"/>
          <w:szCs w:val="36"/>
          <w:lang w:val="en-US" w:eastAsia="zh-CN"/>
        </w:rPr>
        <w:t>天涯区</w:t>
      </w:r>
      <w:r>
        <w:rPr>
          <w:rFonts w:hint="eastAsia" w:ascii="黑体" w:hAnsi="黑体" w:eastAsia="黑体" w:cs="黑体"/>
          <w:sz w:val="36"/>
          <w:szCs w:val="36"/>
          <w:lang w:eastAsia="zh-CN"/>
        </w:rPr>
        <w:t>统计局</w:t>
      </w:r>
      <w:r>
        <w:rPr>
          <w:rFonts w:hint="eastAsia" w:ascii="黑体" w:hAnsi="黑体" w:eastAsia="黑体" w:cs="黑体"/>
          <w:sz w:val="36"/>
          <w:szCs w:val="36"/>
        </w:rPr>
        <w:t>制</w:t>
      </w:r>
      <w:r>
        <w:rPr>
          <w:rFonts w:hint="default" w:ascii="黑体" w:hAnsi="黑体" w:eastAsia="黑体" w:cs="黑体"/>
          <w:sz w:val="36"/>
          <w:szCs w:val="36"/>
        </w:rPr>
        <w:t>定</w:t>
      </w:r>
    </w:p>
    <w:p>
      <w:pPr>
        <w:ind w:left="240"/>
        <w:rPr>
          <w:rFonts w:ascii="黑体" w:hAnsi="黑体" w:eastAsia="黑体"/>
          <w:sz w:val="36"/>
          <w:szCs w:val="36"/>
        </w:rPr>
      </w:pPr>
      <w:r>
        <w:rPr>
          <w:rFonts w:ascii="黑体" w:hAnsi="黑体" w:eastAsia="黑体" w:cs="黑体"/>
          <w:sz w:val="36"/>
          <w:szCs w:val="36"/>
        </w:rPr>
        <w:t xml:space="preserve">           </w:t>
      </w:r>
      <w:r>
        <w:rPr>
          <w:rFonts w:hint="eastAsia" w:ascii="黑体" w:hAnsi="黑体" w:eastAsia="黑体" w:cs="黑体"/>
          <w:sz w:val="36"/>
          <w:szCs w:val="36"/>
        </w:rPr>
        <w:t xml:space="preserve">  </w:t>
      </w:r>
      <w:r>
        <w:rPr>
          <w:rFonts w:ascii="黑体" w:hAnsi="黑体" w:eastAsia="黑体" w:cs="黑体"/>
          <w:sz w:val="36"/>
          <w:szCs w:val="36"/>
        </w:rPr>
        <w:t xml:space="preserve">    202</w:t>
      </w:r>
      <w:r>
        <w:rPr>
          <w:rFonts w:hint="eastAsia" w:ascii="黑体" w:hAnsi="黑体" w:eastAsia="黑体" w:cs="黑体"/>
          <w:sz w:val="36"/>
          <w:szCs w:val="36"/>
          <w:lang w:val="en-US" w:eastAsia="zh-CN"/>
        </w:rPr>
        <w:t>5</w:t>
      </w:r>
      <w:r>
        <w:rPr>
          <w:rFonts w:hint="eastAsia" w:ascii="黑体" w:hAnsi="黑体" w:eastAsia="黑体" w:cs="黑体"/>
          <w:sz w:val="36"/>
          <w:szCs w:val="36"/>
        </w:rPr>
        <w:t>年</w:t>
      </w:r>
      <w:r>
        <w:rPr>
          <w:rFonts w:hint="eastAsia" w:ascii="黑体" w:hAnsi="黑体" w:eastAsia="黑体" w:cs="黑体"/>
          <w:sz w:val="36"/>
          <w:szCs w:val="36"/>
          <w:lang w:val="en-US" w:eastAsia="zh-CN"/>
        </w:rPr>
        <w:t>1</w:t>
      </w:r>
      <w:r>
        <w:rPr>
          <w:rFonts w:hint="eastAsia" w:ascii="黑体" w:hAnsi="黑体" w:eastAsia="黑体" w:cs="黑体"/>
          <w:sz w:val="36"/>
          <w:szCs w:val="36"/>
        </w:rPr>
        <w:t>月</w:t>
      </w:r>
    </w:p>
    <w:p>
      <w:pPr>
        <w:ind w:left="240"/>
        <w:rPr>
          <w:rFonts w:ascii="黑体" w:hAnsi="黑体" w:eastAsia="黑体"/>
          <w:sz w:val="36"/>
          <w:szCs w:val="36"/>
        </w:rPr>
        <w:sectPr>
          <w:footerReference r:id="rId3" w:type="default"/>
          <w:pgSz w:w="11906" w:h="16838"/>
          <w:pgMar w:top="1418" w:right="1588" w:bottom="1418" w:left="1588" w:header="851" w:footer="992" w:gutter="0"/>
          <w:pgNumType w:fmt="numberInDash"/>
          <w:cols w:space="720" w:num="1"/>
          <w:titlePg/>
          <w:docGrid w:type="lines" w:linePitch="312" w:charSpace="0"/>
        </w:sectPr>
      </w:pPr>
    </w:p>
    <w:p>
      <w:pPr>
        <w:pStyle w:val="10"/>
        <w:keepNext w:val="0"/>
        <w:keepLines w:val="0"/>
        <w:pageBreakBefore w:val="0"/>
        <w:widowControl w:val="0"/>
        <w:tabs>
          <w:tab w:val="right" w:pos="8730"/>
        </w:tabs>
        <w:kinsoku/>
        <w:wordWrap/>
        <w:overflowPunct/>
        <w:topLinePunct w:val="0"/>
        <w:autoSpaceDE/>
        <w:autoSpaceDN/>
        <w:bidi w:val="0"/>
        <w:adjustRightInd/>
        <w:snapToGrid/>
        <w:jc w:val="center"/>
        <w:textAlignment w:val="auto"/>
        <w:rPr>
          <w:rFonts w:hint="eastAsia" w:ascii="黑体" w:hAnsi="黑体" w:eastAsia="黑体" w:cs="黑体"/>
          <w:sz w:val="44"/>
          <w:szCs w:val="44"/>
          <w:lang w:eastAsia="zh-CN"/>
        </w:rPr>
      </w:pPr>
      <w:bookmarkStart w:id="0" w:name="_Toc1434281236_WPSOffice_Type2"/>
      <w:r>
        <w:rPr>
          <w:rFonts w:hint="eastAsia" w:ascii="黑体" w:hAnsi="黑体" w:eastAsia="黑体" w:cs="黑体"/>
          <w:sz w:val="44"/>
          <w:szCs w:val="44"/>
          <w:lang w:eastAsia="zh-CN"/>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录</w:t>
      </w:r>
    </w:p>
    <w:p>
      <w:pPr>
        <w:pStyle w:val="10"/>
        <w:keepNext w:val="0"/>
        <w:keepLines w:val="0"/>
        <w:pageBreakBefore w:val="0"/>
        <w:widowControl w:val="0"/>
        <w:tabs>
          <w:tab w:val="right" w:pos="8730"/>
        </w:tabs>
        <w:kinsoku/>
        <w:wordWrap/>
        <w:overflowPunct/>
        <w:topLinePunct w:val="0"/>
        <w:autoSpaceDE/>
        <w:autoSpaceDN/>
        <w:bidi w:val="0"/>
        <w:adjustRightInd/>
        <w:snapToGrid/>
        <w:jc w:val="center"/>
        <w:textAlignment w:val="auto"/>
        <w:rPr>
          <w:rFonts w:hint="eastAsia" w:ascii="黑体" w:hAnsi="黑体" w:eastAsia="黑体" w:cs="黑体"/>
          <w:sz w:val="44"/>
          <w:szCs w:val="44"/>
          <w:lang w:eastAsia="zh-CN"/>
        </w:rPr>
      </w:pPr>
    </w:p>
    <w:bookmarkEnd w:id="0"/>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TOC \o "1-2" \h \u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_Toc678267173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eastAsia="zh-CN"/>
        </w:rPr>
        <w:t>一、方案</w:t>
      </w:r>
      <w:r>
        <w:rPr>
          <w:rFonts w:hint="default" w:ascii="Times New Roman" w:hAnsi="Times New Roman" w:eastAsia="仿宋" w:cs="Times New Roman"/>
          <w:sz w:val="32"/>
          <w:szCs w:val="32"/>
        </w:rPr>
        <w:t>依据</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_Toc678267173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- 2 -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_Toc641581553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eastAsia="zh-CN"/>
        </w:rPr>
        <w:t>二、方案内容</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_Toc641581553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- 2 -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_Toc1644952732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eastAsia="zh-CN"/>
        </w:rPr>
        <w:t>（一）调查目的</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_Toc1644952732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- 2 -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_Toc1982660542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eastAsia="zh-CN"/>
        </w:rPr>
        <w:t>（二）调查范围</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_Toc1982660542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- 2 -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_Toc961714836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eastAsia="zh-CN"/>
        </w:rPr>
        <w:t>（三）调查对象</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_Toc961714836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- 2 -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_Toc428117530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（四）调查方法</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_Toc428117530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- 3 -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_Toc1099605084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（五）调查内容</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_Toc1099605084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- 3 -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_Toc2051749928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（六）调查样本总量及配额</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_Toc2051749928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- 3 -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_Toc1023211471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（七）调查时间</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_Toc1023211471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- 4 -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_Toc1438825076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（八）评价等级及计分方法</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_Toc1438825076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- 6 -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_Toc1470107161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（九）组织实施</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_Toc1470107161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- 7 -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_Toc1865892675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（十）质量控制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_Toc1865892675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- 7 -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_Toc160879225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三、调查问卷</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_Toc160879225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- 7 -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0"/>
        <w:keepNext w:val="0"/>
        <w:keepLines w:val="0"/>
        <w:pageBreakBefore w:val="0"/>
        <w:widowControl w:val="0"/>
        <w:tabs>
          <w:tab w:val="righ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end"/>
      </w:r>
    </w:p>
    <w:p>
      <w:pPr>
        <w:pStyle w:val="5"/>
        <w:keepNext w:val="0"/>
        <w:keepLines w:val="0"/>
        <w:pageBreakBefore w:val="0"/>
        <w:widowControl w:val="0"/>
        <w:kinsoku/>
        <w:wordWrap/>
        <w:overflowPunct/>
        <w:topLinePunct w:val="0"/>
        <w:autoSpaceDE/>
        <w:autoSpaceDN/>
        <w:bidi w:val="0"/>
        <w:adjustRightInd/>
        <w:snapToGrid/>
        <w:ind w:left="420" w:leftChars="200"/>
        <w:textAlignment w:val="auto"/>
      </w:pPr>
    </w:p>
    <w:p>
      <w:pPr>
        <w:keepNext w:val="0"/>
        <w:keepLines w:val="0"/>
        <w:pageBreakBefore w:val="0"/>
        <w:widowControl w:val="0"/>
        <w:kinsoku/>
        <w:wordWrap/>
        <w:overflowPunct/>
        <w:topLinePunct w:val="0"/>
        <w:autoSpaceDE/>
        <w:autoSpaceDN/>
        <w:bidi w:val="0"/>
        <w:adjustRightInd/>
        <w:snapToGrid/>
        <w:ind w:left="420" w:leftChars="200"/>
        <w:textAlignment w:val="auto"/>
      </w:pPr>
    </w:p>
    <w:p>
      <w:pPr>
        <w:pStyle w:val="5"/>
      </w:pPr>
    </w:p>
    <w:p/>
    <w:p>
      <w:pPr>
        <w:pStyle w:val="5"/>
      </w:pPr>
    </w:p>
    <w:p/>
    <w:p>
      <w:pPr>
        <w:pStyle w:val="5"/>
      </w:pPr>
    </w:p>
    <w:p/>
    <w:p>
      <w:pPr>
        <w:pStyle w:val="5"/>
      </w:pPr>
    </w:p>
    <w:p/>
    <w:p/>
    <w:p>
      <w:pPr>
        <w:pStyle w:val="17"/>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288" w:rightChars="-137"/>
        <w:textAlignment w:val="auto"/>
        <w:rPr>
          <w:rFonts w:hint="eastAsia" w:ascii="黑体" w:hAnsi="宋体" w:eastAsia="黑体" w:cs="黑体"/>
          <w:color w:val="000000"/>
          <w:sz w:val="32"/>
          <w:szCs w:val="32"/>
          <w:lang w:eastAsia="zh-CN"/>
        </w:rPr>
        <w:sectPr>
          <w:footerReference r:id="rId4" w:type="default"/>
          <w:pgSz w:w="11906" w:h="16838"/>
          <w:pgMar w:top="1418" w:right="1588" w:bottom="1418" w:left="1588" w:header="851" w:footer="992" w:gutter="0"/>
          <w:pgNumType w:fmt="numberInDash" w:start="1"/>
          <w:cols w:space="720" w:num="1"/>
          <w:docGrid w:type="lines" w:linePitch="312" w:charSpace="0"/>
        </w:sectPr>
      </w:pPr>
    </w:p>
    <w:p>
      <w:pPr>
        <w:pStyle w:val="3"/>
        <w:pageBreakBefore w:val="0"/>
        <w:widowControl w:val="0"/>
        <w:kinsoku/>
        <w:wordWrap/>
        <w:overflowPunct/>
        <w:topLinePunct w:val="0"/>
        <w:autoSpaceDE/>
        <w:autoSpaceDN/>
        <w:bidi w:val="0"/>
        <w:adjustRightInd/>
        <w:spacing w:beforeLines="0" w:afterLines="0" w:line="578" w:lineRule="exact"/>
        <w:textAlignment w:val="auto"/>
      </w:pPr>
      <w:bookmarkStart w:id="1" w:name="_Toc24879"/>
      <w:bookmarkStart w:id="2" w:name="_Toc320133283"/>
      <w:bookmarkStart w:id="3" w:name="_Toc45922101_WPSOffice_Level1"/>
      <w:bookmarkStart w:id="4" w:name="_Toc31177_WPSOffice_Level1"/>
      <w:bookmarkStart w:id="5" w:name="_Toc769901809"/>
      <w:bookmarkStart w:id="6" w:name="_Toc23240_WPSOffice_Level1"/>
      <w:bookmarkStart w:id="7" w:name="_Toc678267173"/>
      <w:r>
        <w:rPr>
          <w:rFonts w:hint="eastAsia"/>
          <w:lang w:eastAsia="zh-CN"/>
        </w:rPr>
        <w:t>一、方案</w:t>
      </w:r>
      <w:r>
        <w:rPr>
          <w:rFonts w:hint="eastAsia"/>
        </w:rPr>
        <w:t>依据</w:t>
      </w:r>
      <w:bookmarkEnd w:id="1"/>
      <w:bookmarkEnd w:id="2"/>
      <w:bookmarkEnd w:id="3"/>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bookmarkStart w:id="8" w:name="_Toc247862118"/>
      <w:bookmarkStart w:id="9" w:name="_Toc257707948"/>
      <w:r>
        <w:rPr>
          <w:rFonts w:hint="eastAsia" w:ascii="Times New Roman" w:hAnsi="Times New Roman" w:eastAsia="仿宋_GB2312" w:cs="Times New Roman"/>
          <w:sz w:val="32"/>
          <w:szCs w:val="32"/>
          <w:lang w:val="en-US" w:eastAsia="zh-CN"/>
        </w:rPr>
        <w:t>本调查方案</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bCs w:val="0"/>
          <w:sz w:val="32"/>
          <w:szCs w:val="32"/>
          <w:lang w:eastAsia="zh-CN"/>
        </w:rPr>
        <w:t>中共三亚市天涯区委办公室三亚市天涯区人民政府办公室关于印发＜三亚市天涯区2024年度综合考核实施方案＞的通知</w:t>
      </w:r>
      <w:r>
        <w:rPr>
          <w:rFonts w:hint="default" w:ascii="Times New Roman" w:hAnsi="Times New Roman" w:eastAsia="仿宋_GB2312" w:cs="Times New Roman"/>
          <w:bCs w:val="0"/>
          <w:color w:val="auto"/>
          <w:sz w:val="32"/>
          <w:szCs w:val="32"/>
          <w:lang w:eastAsia="zh-CN"/>
        </w:rPr>
        <w:t>》</w:t>
      </w:r>
      <w:r>
        <w:rPr>
          <w:rFonts w:hint="eastAsia" w:ascii="Times New Roman" w:hAnsi="Times New Roman" w:eastAsia="仿宋_GB2312" w:cs="Times New Roman"/>
          <w:color w:val="auto"/>
          <w:sz w:val="32"/>
          <w:u w:val="none"/>
          <w:lang w:eastAsia="zh-CN"/>
        </w:rPr>
        <w:t>（天委办</w:t>
      </w:r>
      <w:r>
        <w:rPr>
          <w:rFonts w:hint="eastAsia" w:ascii="Times New Roman" w:hAnsi="Times New Roman" w:eastAsia="仿宋_GB2312" w:cs="Times New Roman"/>
          <w:color w:val="auto"/>
          <w:sz w:val="32"/>
          <w:u w:val="none"/>
          <w:lang w:val="en-US" w:eastAsia="zh-CN"/>
        </w:rPr>
        <w:t>〔2025〕3号</w:t>
      </w:r>
      <w:r>
        <w:rPr>
          <w:rFonts w:hint="eastAsia" w:ascii="Times New Roman" w:hAnsi="Times New Roman" w:eastAsia="仿宋_GB2312" w:cs="Times New Roman"/>
          <w:color w:val="auto"/>
          <w:sz w:val="32"/>
          <w:u w:val="none"/>
          <w:lang w:eastAsia="zh-CN"/>
        </w:rPr>
        <w:t>）</w:t>
      </w:r>
      <w:r>
        <w:rPr>
          <w:rFonts w:hint="eastAsia" w:ascii="Times New Roman" w:hAnsi="Times New Roman" w:eastAsia="仿宋_GB2312" w:cs="Times New Roman"/>
          <w:sz w:val="32"/>
          <w:szCs w:val="32"/>
          <w:lang w:val="en-US" w:eastAsia="zh-CN"/>
        </w:rPr>
        <w:t>要求，三亚市天涯区综合考核工作部署会议有关精神制订</w:t>
      </w:r>
      <w:r>
        <w:rPr>
          <w:rFonts w:hint="default" w:ascii="Times New Roman" w:hAnsi="Times New Roman" w:eastAsia="仿宋_GB2312" w:cs="Times New Roman"/>
          <w:sz w:val="32"/>
          <w:szCs w:val="32"/>
          <w:lang w:val="en-US" w:eastAsia="zh-CN"/>
        </w:rPr>
        <w:t>。</w:t>
      </w:r>
    </w:p>
    <w:p>
      <w:pPr>
        <w:pStyle w:val="3"/>
        <w:pageBreakBefore w:val="0"/>
        <w:widowControl w:val="0"/>
        <w:kinsoku/>
        <w:wordWrap/>
        <w:overflowPunct/>
        <w:topLinePunct w:val="0"/>
        <w:autoSpaceDE/>
        <w:autoSpaceDN/>
        <w:bidi w:val="0"/>
        <w:adjustRightInd/>
        <w:spacing w:beforeLines="0" w:afterLines="0" w:line="578" w:lineRule="exact"/>
        <w:ind w:firstLine="640"/>
        <w:textAlignment w:val="auto"/>
        <w:rPr>
          <w:rFonts w:hint="eastAsia"/>
          <w:lang w:eastAsia="zh-CN"/>
        </w:rPr>
      </w:pPr>
      <w:bookmarkStart w:id="10" w:name="_Toc1811929143"/>
      <w:bookmarkStart w:id="11" w:name="_Toc641581553"/>
      <w:bookmarkStart w:id="12" w:name="_Toc930648445"/>
      <w:bookmarkStart w:id="13" w:name="_Toc495597647_WPSOffice_Level1"/>
      <w:bookmarkStart w:id="14" w:name="_Toc22765"/>
      <w:bookmarkStart w:id="15" w:name="_Toc25096_WPSOffice_Level1"/>
      <w:bookmarkStart w:id="16" w:name="_Toc9668_WPSOffice_Level1"/>
      <w:r>
        <w:rPr>
          <w:rFonts w:hint="eastAsia"/>
          <w:lang w:eastAsia="zh-CN"/>
        </w:rPr>
        <w:t>二、方案内容</w:t>
      </w:r>
      <w:bookmarkEnd w:id="10"/>
      <w:bookmarkEnd w:id="11"/>
      <w:bookmarkEnd w:id="12"/>
      <w:bookmarkEnd w:id="13"/>
      <w:bookmarkEnd w:id="14"/>
      <w:bookmarkEnd w:id="15"/>
      <w:bookmarkEnd w:id="16"/>
    </w:p>
    <w:p>
      <w:pPr>
        <w:pStyle w:val="4"/>
        <w:pageBreakBefore w:val="0"/>
        <w:widowControl w:val="0"/>
        <w:kinsoku/>
        <w:wordWrap/>
        <w:overflowPunct/>
        <w:topLinePunct w:val="0"/>
        <w:autoSpaceDE/>
        <w:autoSpaceDN/>
        <w:bidi w:val="0"/>
        <w:adjustRightInd/>
        <w:spacing w:beforeLines="0" w:afterLines="0" w:line="578" w:lineRule="exact"/>
        <w:textAlignment w:val="auto"/>
        <w:rPr>
          <w:rFonts w:hint="eastAsia"/>
          <w:lang w:eastAsia="zh-CN"/>
        </w:rPr>
      </w:pPr>
      <w:bookmarkStart w:id="17" w:name="_Toc26320_WPSOffice_Level2"/>
      <w:bookmarkStart w:id="18" w:name="_Toc1264428190"/>
      <w:bookmarkStart w:id="19" w:name="_Toc2966"/>
      <w:bookmarkStart w:id="20" w:name="_Toc355445630_WPSOffice_Level2"/>
      <w:bookmarkStart w:id="21" w:name="_Toc1222275449"/>
      <w:bookmarkStart w:id="22" w:name="_Toc1644952732"/>
      <w:r>
        <w:rPr>
          <w:rFonts w:hint="eastAsia"/>
          <w:lang w:eastAsia="zh-CN"/>
        </w:rPr>
        <w:t>（一）调查目的</w:t>
      </w:r>
      <w:bookmarkEnd w:id="17"/>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通过开展综合考核社会评价工作，进一步深入贯彻党中央、省委、市委和区委关于推动高质量发展的决策部署,突出考核“指挥棒”导向作用,激励引导各单位树立和践行正确政绩观,提高区直各部门工作精细化、科学化水平，积极推动天涯区高质量发展</w:t>
      </w:r>
      <w:r>
        <w:rPr>
          <w:rFonts w:hint="eastAsia" w:ascii="仿宋_GB2312" w:hAnsi="仿宋_GB2312" w:eastAsia="仿宋_GB2312" w:cs="仿宋_GB2312"/>
          <w:bCs/>
          <w:sz w:val="32"/>
          <w:szCs w:val="32"/>
          <w:lang w:val="en-US" w:eastAsia="zh-CN"/>
        </w:rPr>
        <w:t>。</w:t>
      </w:r>
    </w:p>
    <w:p>
      <w:pPr>
        <w:pStyle w:val="4"/>
        <w:pageBreakBefore w:val="0"/>
        <w:widowControl w:val="0"/>
        <w:kinsoku/>
        <w:wordWrap/>
        <w:overflowPunct/>
        <w:topLinePunct w:val="0"/>
        <w:autoSpaceDE/>
        <w:autoSpaceDN/>
        <w:bidi w:val="0"/>
        <w:adjustRightInd/>
        <w:spacing w:beforeLines="0" w:afterLines="0" w:line="578" w:lineRule="exact"/>
        <w:ind w:firstLine="640"/>
        <w:textAlignment w:val="auto"/>
        <w:rPr>
          <w:rFonts w:hint="eastAsia" w:ascii="Arial" w:hAnsi="Arial"/>
          <w:b w:val="0"/>
          <w:lang w:eastAsia="zh-CN"/>
        </w:rPr>
      </w:pPr>
      <w:bookmarkStart w:id="23" w:name="_Toc23838"/>
      <w:bookmarkStart w:id="24" w:name="_Toc948030415_WPSOffice_Level2"/>
      <w:bookmarkStart w:id="25" w:name="_Toc475805788"/>
      <w:bookmarkStart w:id="26" w:name="_Toc1982660542"/>
      <w:bookmarkStart w:id="27" w:name="_Toc1090035092"/>
      <w:bookmarkStart w:id="28" w:name="_Toc13603_WPSOffice_Level2"/>
      <w:r>
        <w:rPr>
          <w:rFonts w:hint="eastAsia" w:ascii="Arial" w:hAnsi="Arial"/>
          <w:b w:val="0"/>
          <w:lang w:eastAsia="zh-CN"/>
        </w:rPr>
        <w:t>（二）调查范围</w:t>
      </w:r>
      <w:bookmarkEnd w:id="23"/>
      <w:bookmarkEnd w:id="24"/>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调查范围是三亚市</w:t>
      </w:r>
      <w:r>
        <w:rPr>
          <w:rFonts w:hint="eastAsia" w:ascii="仿宋_GB2312" w:hAnsi="仿宋_GB2312" w:eastAsia="仿宋_GB2312" w:cs="仿宋_GB2312"/>
          <w:bCs/>
          <w:sz w:val="32"/>
          <w:szCs w:val="32"/>
          <w:lang w:val="en-US" w:eastAsia="zh-CN"/>
        </w:rPr>
        <w:t>天涯区</w:t>
      </w:r>
      <w:r>
        <w:rPr>
          <w:rFonts w:hint="eastAsia" w:ascii="仿宋_GB2312" w:hAnsi="仿宋_GB2312" w:eastAsia="仿宋_GB2312" w:cs="仿宋_GB2312"/>
          <w:bCs/>
          <w:sz w:val="32"/>
          <w:szCs w:val="32"/>
          <w:lang w:eastAsia="zh-CN"/>
        </w:rPr>
        <w:t>区直机关单位（详见附件</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w:t>
      </w:r>
    </w:p>
    <w:p>
      <w:pPr>
        <w:pStyle w:val="4"/>
        <w:pageBreakBefore w:val="0"/>
        <w:widowControl w:val="0"/>
        <w:kinsoku/>
        <w:wordWrap/>
        <w:overflowPunct/>
        <w:topLinePunct w:val="0"/>
        <w:autoSpaceDE/>
        <w:autoSpaceDN/>
        <w:bidi w:val="0"/>
        <w:adjustRightInd/>
        <w:spacing w:beforeLines="0" w:afterLines="0" w:line="578" w:lineRule="exact"/>
        <w:ind w:firstLine="640"/>
        <w:textAlignment w:val="auto"/>
        <w:rPr>
          <w:rFonts w:hint="eastAsia" w:ascii="Arial" w:hAnsi="Arial"/>
          <w:b w:val="0"/>
          <w:lang w:eastAsia="zh-CN"/>
        </w:rPr>
      </w:pPr>
      <w:bookmarkStart w:id="29" w:name="_Toc961714836"/>
      <w:bookmarkStart w:id="30" w:name="_Toc13426_WPSOffice_Level2"/>
      <w:bookmarkStart w:id="31" w:name="_Toc247587263"/>
      <w:bookmarkStart w:id="32" w:name="_Toc18028"/>
      <w:bookmarkStart w:id="33" w:name="_Toc595093941"/>
      <w:bookmarkStart w:id="34" w:name="_Toc1922983479_WPSOffice_Level2"/>
      <w:r>
        <w:rPr>
          <w:rFonts w:hint="eastAsia" w:ascii="Arial" w:hAnsi="Arial"/>
          <w:b w:val="0"/>
          <w:lang w:eastAsia="zh-CN"/>
        </w:rPr>
        <w:t>（三）调查对象</w:t>
      </w:r>
      <w:bookmarkEnd w:id="29"/>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社会评价调查包括代表集中问卷评价和随机电话访问评价两部分。</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代表集中问卷评价的调查对象包括党代表、人大代表、政协委员、村（社区）代表、部门代表（纪委监委机关、“两办”、人大机关、政协机关、发改、营商、财政、审计、统计）五类人员，从全区范围抽取五类代表现场集中填写《</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年度三亚市天涯区区直机关</w:t>
      </w:r>
      <w:r>
        <w:rPr>
          <w:rFonts w:hint="eastAsia" w:ascii="Times New Roman" w:hAnsi="Times New Roman" w:eastAsia="仿宋_GB2312" w:cs="Times New Roman"/>
          <w:sz w:val="32"/>
          <w:szCs w:val="32"/>
          <w:lang w:val="en-US" w:eastAsia="zh-CN"/>
        </w:rPr>
        <w:t>综合考核</w:t>
      </w:r>
      <w:r>
        <w:rPr>
          <w:rFonts w:hint="default" w:ascii="Times New Roman" w:hAnsi="Times New Roman" w:eastAsia="仿宋_GB2312" w:cs="Times New Roman"/>
          <w:sz w:val="32"/>
          <w:szCs w:val="32"/>
          <w:lang w:val="en-US" w:eastAsia="zh-CN"/>
        </w:rPr>
        <w:t>社会评价测评问卷</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bCs/>
          <w:sz w:val="32"/>
          <w:szCs w:val="32"/>
          <w:lang w:val="en-US" w:eastAsia="zh-CN"/>
        </w:rPr>
      </w:pPr>
      <w:r>
        <w:rPr>
          <w:rFonts w:hint="eastAsia" w:ascii="Times New Roman" w:hAnsi="Times New Roman" w:eastAsia="仿宋_GB2312" w:cs="Times New Roman"/>
          <w:sz w:val="32"/>
          <w:szCs w:val="32"/>
          <w:lang w:val="en-US" w:eastAsia="zh-CN"/>
        </w:rPr>
        <w:t>随机电话访问评价的调查对象是三亚市天涯区内年满18周岁以上的人员。按身份分类为：被评价单位的管理对象和服务对象。通过电话访问调查分别对应完成《</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年度三亚市天涯区区直机关</w:t>
      </w:r>
      <w:r>
        <w:rPr>
          <w:rFonts w:hint="eastAsia" w:ascii="Times New Roman" w:hAnsi="Times New Roman" w:eastAsia="仿宋_GB2312" w:cs="Times New Roman"/>
          <w:sz w:val="32"/>
          <w:szCs w:val="32"/>
          <w:lang w:val="en-US" w:eastAsia="zh-CN"/>
        </w:rPr>
        <w:t>综合考核</w:t>
      </w:r>
      <w:r>
        <w:rPr>
          <w:rFonts w:hint="default" w:ascii="Times New Roman" w:hAnsi="Times New Roman" w:eastAsia="仿宋_GB2312" w:cs="Times New Roman"/>
          <w:sz w:val="32"/>
          <w:szCs w:val="32"/>
          <w:lang w:val="en-US" w:eastAsia="zh-CN"/>
        </w:rPr>
        <w:t>社会评价测评问卷</w:t>
      </w:r>
      <w:r>
        <w:rPr>
          <w:rFonts w:hint="eastAsia" w:ascii="Times New Roman" w:hAnsi="Times New Roman" w:eastAsia="仿宋_GB2312" w:cs="Times New Roman"/>
          <w:sz w:val="32"/>
          <w:szCs w:val="32"/>
          <w:lang w:val="en-US" w:eastAsia="zh-CN"/>
        </w:rPr>
        <w:t>》。</w:t>
      </w:r>
    </w:p>
    <w:p>
      <w:pPr>
        <w:pStyle w:val="4"/>
        <w:pageBreakBefore w:val="0"/>
        <w:widowControl w:val="0"/>
        <w:kinsoku/>
        <w:wordWrap/>
        <w:overflowPunct/>
        <w:topLinePunct w:val="0"/>
        <w:autoSpaceDE/>
        <w:autoSpaceDN/>
        <w:bidi w:val="0"/>
        <w:adjustRightInd/>
        <w:spacing w:beforeLines="0" w:afterLines="0" w:line="578" w:lineRule="exact"/>
        <w:textAlignment w:val="auto"/>
        <w:rPr>
          <w:rFonts w:hint="eastAsia" w:ascii="Arial" w:hAnsi="Arial"/>
          <w:b w:val="0"/>
          <w:lang w:val="en-US" w:eastAsia="zh-CN"/>
        </w:rPr>
      </w:pPr>
      <w:bookmarkStart w:id="35" w:name="_Toc23453_WPSOffice_Level2"/>
      <w:bookmarkStart w:id="36" w:name="_Toc24964"/>
      <w:bookmarkStart w:id="37" w:name="_Toc530317805"/>
      <w:bookmarkStart w:id="38" w:name="_Toc172540353_WPSOffice_Level2"/>
      <w:bookmarkStart w:id="39" w:name="_Toc428117530"/>
      <w:bookmarkStart w:id="40" w:name="_Toc339219992"/>
      <w:r>
        <w:rPr>
          <w:rFonts w:hint="eastAsia" w:ascii="Arial" w:hAnsi="Arial"/>
          <w:b w:val="0"/>
          <w:lang w:val="en-US" w:eastAsia="zh-CN"/>
        </w:rPr>
        <w:t>（四）调查方法</w:t>
      </w:r>
      <w:bookmarkEnd w:id="35"/>
      <w:bookmarkEnd w:id="36"/>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bookmarkStart w:id="41" w:name="_Toc1546599885"/>
      <w:bookmarkStart w:id="42" w:name="_Toc2823_WPSOffice_Level2"/>
      <w:bookmarkStart w:id="43" w:name="_Toc31010"/>
      <w:r>
        <w:rPr>
          <w:rFonts w:hint="eastAsia" w:ascii="Times New Roman" w:hAnsi="Times New Roman" w:eastAsia="仿宋_GB2312" w:cs="Times New Roman"/>
          <w:sz w:val="32"/>
          <w:szCs w:val="32"/>
          <w:lang w:val="en-US" w:eastAsia="zh-CN"/>
        </w:rPr>
        <w:t>社会评价调查分为代表集中问卷评价和随机电话访问评价两部分，各占社会评价综合得分的50%。代表集中问卷评价对象从指定部门提供的名册中随机抽取，进行集中面访调查并填写问卷；随机电话访问评价的管理对象和服务对象从各被评单位提供的名册中随机抽取，采用第三方电话调查机构进行访问调查。</w:t>
      </w:r>
      <w:bookmarkEnd w:id="41"/>
    </w:p>
    <w:p>
      <w:pPr>
        <w:pStyle w:val="4"/>
        <w:pageBreakBefore w:val="0"/>
        <w:widowControl w:val="0"/>
        <w:kinsoku/>
        <w:wordWrap/>
        <w:overflowPunct/>
        <w:topLinePunct w:val="0"/>
        <w:autoSpaceDE/>
        <w:autoSpaceDN/>
        <w:bidi w:val="0"/>
        <w:adjustRightInd/>
        <w:spacing w:beforeLines="0" w:afterLines="0" w:line="578" w:lineRule="exact"/>
        <w:ind w:firstLine="640"/>
        <w:textAlignment w:val="auto"/>
        <w:rPr>
          <w:rFonts w:hint="eastAsia" w:ascii="Arial" w:hAnsi="Arial"/>
          <w:b w:val="0"/>
          <w:lang w:val="en-US" w:eastAsia="zh-CN"/>
        </w:rPr>
      </w:pPr>
      <w:bookmarkStart w:id="44" w:name="_Toc1565840880"/>
      <w:bookmarkStart w:id="45" w:name="_Toc20846364_WPSOffice_Level2"/>
      <w:bookmarkStart w:id="46" w:name="_Toc1099605084"/>
      <w:bookmarkStart w:id="47" w:name="_Toc184398519"/>
      <w:r>
        <w:rPr>
          <w:rFonts w:hint="eastAsia" w:ascii="Arial" w:hAnsi="Arial"/>
          <w:b w:val="0"/>
          <w:lang w:val="en-US" w:eastAsia="zh-CN"/>
        </w:rPr>
        <w:t>（五）调查内容</w:t>
      </w:r>
      <w:bookmarkEnd w:id="42"/>
      <w:bookmarkEnd w:id="43"/>
      <w:bookmarkEnd w:id="44"/>
      <w:bookmarkEnd w:id="45"/>
      <w:bookmarkEnd w:id="46"/>
      <w:bookmarkEnd w:id="47"/>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对区直机关主要围绕作风建设、履职尽责、能力建设、为民服务、党的建设、廉洁自律等6个方面的内容开展评价（详见附件2）。</w:t>
      </w:r>
    </w:p>
    <w:p>
      <w:pPr>
        <w:pStyle w:val="4"/>
        <w:pageBreakBefore w:val="0"/>
        <w:widowControl w:val="0"/>
        <w:kinsoku/>
        <w:wordWrap/>
        <w:overflowPunct/>
        <w:topLinePunct w:val="0"/>
        <w:autoSpaceDE/>
        <w:autoSpaceDN/>
        <w:bidi w:val="0"/>
        <w:adjustRightInd/>
        <w:spacing w:beforeLines="0" w:afterLines="0" w:line="578" w:lineRule="exact"/>
        <w:ind w:firstLine="640"/>
        <w:textAlignment w:val="auto"/>
        <w:rPr>
          <w:rFonts w:hint="eastAsia" w:ascii="Arial" w:hAnsi="Arial"/>
          <w:b w:val="0"/>
          <w:lang w:val="en-US" w:eastAsia="zh-CN"/>
        </w:rPr>
      </w:pPr>
      <w:bookmarkStart w:id="48" w:name="_Toc842681204"/>
      <w:bookmarkStart w:id="49" w:name="_Toc4474_WPSOffice_Level2"/>
      <w:bookmarkStart w:id="50" w:name="_Toc1943204078"/>
      <w:bookmarkStart w:id="51" w:name="_Toc1974803806_WPSOffice_Level2"/>
      <w:bookmarkStart w:id="52" w:name="_Toc2051749928"/>
      <w:bookmarkStart w:id="53" w:name="_Toc28097"/>
      <w:r>
        <w:rPr>
          <w:rFonts w:hint="eastAsia" w:ascii="Arial" w:hAnsi="Arial"/>
          <w:b w:val="0"/>
          <w:lang w:val="en-US" w:eastAsia="zh-CN"/>
        </w:rPr>
        <w:t>（六）调查样本总量及配额</w:t>
      </w:r>
      <w:bookmarkEnd w:id="48"/>
      <w:bookmarkEnd w:id="49"/>
      <w:bookmarkEnd w:id="50"/>
      <w:bookmarkEnd w:id="51"/>
      <w:bookmarkEnd w:id="52"/>
      <w:bookmarkEnd w:id="53"/>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33个被评单位合计抽取3135个以上样本作为调查对象，完成有效样本量不低于3135。每个被</w:t>
      </w:r>
      <w:r>
        <w:rPr>
          <w:rFonts w:hint="eastAsia" w:ascii="仿宋_GB2312" w:hAnsi="仿宋_GB2312" w:eastAsia="仿宋_GB2312" w:cs="仿宋_GB2312"/>
          <w:sz w:val="32"/>
          <w:szCs w:val="32"/>
          <w:lang w:val="en-US" w:eastAsia="zh-CN"/>
        </w:rPr>
        <w:t>评单位分别完成代表集中问卷评价和随机电话访问评价样本配额（见下表）。</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center"/>
        <w:textAlignment w:val="auto"/>
        <w:rPr>
          <w:rFonts w:hint="eastAsia" w:ascii="方正黑体_GBK" w:hAnsi="方正黑体_GBK" w:eastAsia="方正黑体_GBK" w:cs="方正黑体_GBK"/>
          <w:color w:val="000000"/>
          <w:sz w:val="28"/>
          <w:szCs w:val="28"/>
          <w:lang w:val="en-US" w:eastAsia="zh-CN"/>
        </w:rPr>
        <w:sectPr>
          <w:footerReference r:id="rId5" w:type="default"/>
          <w:pgSz w:w="11906" w:h="16838"/>
          <w:pgMar w:top="1418" w:right="1588" w:bottom="1418" w:left="1588"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center"/>
        <w:textAlignment w:val="auto"/>
        <w:rPr>
          <w:rFonts w:hint="default" w:ascii="Times New Roman" w:hAnsi="Times New Roman" w:eastAsia="仿宋_GB2312" w:cs="仿宋_GB2312"/>
          <w:color w:val="000000"/>
          <w:sz w:val="32"/>
          <w:szCs w:val="32"/>
          <w:lang w:val="en-US" w:eastAsia="zh-CN"/>
        </w:rPr>
      </w:pPr>
      <w:r>
        <w:rPr>
          <w:rFonts w:hint="eastAsia" w:ascii="方正黑体_GBK" w:hAnsi="方正黑体_GBK" w:eastAsia="方正黑体_GBK" w:cs="方正黑体_GBK"/>
          <w:color w:val="000000"/>
          <w:sz w:val="28"/>
          <w:szCs w:val="28"/>
          <w:lang w:val="en-US" w:eastAsia="zh-CN"/>
        </w:rPr>
        <w:t>调查样本配额表</w:t>
      </w:r>
    </w:p>
    <w:tbl>
      <w:tblPr>
        <w:tblStyle w:val="14"/>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780"/>
        <w:gridCol w:w="780"/>
        <w:gridCol w:w="645"/>
        <w:gridCol w:w="750"/>
        <w:gridCol w:w="750"/>
        <w:gridCol w:w="720"/>
        <w:gridCol w:w="1009"/>
        <w:gridCol w:w="1186"/>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85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调查对象</w:t>
            </w:r>
          </w:p>
        </w:tc>
        <w:tc>
          <w:tcPr>
            <w:tcW w:w="780" w:type="dxa"/>
            <w:vMerge w:val="restart"/>
          </w:tcPr>
          <w:p>
            <w:pPr>
              <w:keepNext w:val="0"/>
              <w:keepLines w:val="0"/>
              <w:pageBreakBefore w:val="0"/>
              <w:widowControl w:val="0"/>
              <w:kinsoku/>
              <w:wordWrap/>
              <w:overflowPunct/>
              <w:topLinePunct w:val="0"/>
              <w:autoSpaceDE/>
              <w:autoSpaceDN/>
              <w:bidi w:val="0"/>
              <w:adjustRightInd/>
              <w:snapToGrid w:val="0"/>
              <w:spacing w:before="469" w:beforeLines="150"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样本总量</w:t>
            </w:r>
          </w:p>
        </w:tc>
        <w:tc>
          <w:tcPr>
            <w:tcW w:w="780" w:type="dxa"/>
            <w:vMerge w:val="restart"/>
          </w:tcPr>
          <w:p>
            <w:pPr>
              <w:keepNext w:val="0"/>
              <w:keepLines w:val="0"/>
              <w:pageBreakBefore w:val="0"/>
              <w:widowControl w:val="0"/>
              <w:kinsoku/>
              <w:wordWrap/>
              <w:overflowPunct/>
              <w:topLinePunct w:val="0"/>
              <w:autoSpaceDE/>
              <w:autoSpaceDN/>
              <w:bidi w:val="0"/>
              <w:adjustRightInd/>
              <w:snapToGrid w:val="0"/>
              <w:spacing w:before="469" w:beforeLines="150"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调查对象数量</w:t>
            </w:r>
          </w:p>
        </w:tc>
        <w:tc>
          <w:tcPr>
            <w:tcW w:w="3874" w:type="dxa"/>
            <w:gridSpan w:val="5"/>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代表集中问卷评价样本</w:t>
            </w:r>
          </w:p>
        </w:tc>
        <w:tc>
          <w:tcPr>
            <w:tcW w:w="2312" w:type="dxa"/>
            <w:gridSpan w:val="2"/>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随机电话访问评价样本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1850" w:type="dxa"/>
            <w:vMerge w:val="continue"/>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p>
        </w:tc>
        <w:tc>
          <w:tcPr>
            <w:tcW w:w="780" w:type="dxa"/>
            <w:vMerge w:val="continue"/>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p>
        </w:tc>
        <w:tc>
          <w:tcPr>
            <w:tcW w:w="780" w:type="dxa"/>
            <w:vMerge w:val="continue"/>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p>
        </w:tc>
        <w:tc>
          <w:tcPr>
            <w:tcW w:w="645" w:type="dxa"/>
          </w:tcPr>
          <w:p>
            <w:pPr>
              <w:keepNext w:val="0"/>
              <w:keepLines w:val="0"/>
              <w:pageBreakBefore w:val="0"/>
              <w:widowControl w:val="0"/>
              <w:kinsoku/>
              <w:wordWrap/>
              <w:overflowPunct/>
              <w:topLinePunct w:val="0"/>
              <w:autoSpaceDE/>
              <w:autoSpaceDN/>
              <w:bidi w:val="0"/>
              <w:adjustRightInd/>
              <w:snapToGrid w:val="0"/>
              <w:spacing w:before="469" w:beforeLines="150" w:line="500" w:lineRule="exact"/>
              <w:jc w:val="left"/>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党代表</w:t>
            </w:r>
          </w:p>
        </w:tc>
        <w:tc>
          <w:tcPr>
            <w:tcW w:w="750" w:type="dxa"/>
          </w:tcPr>
          <w:p>
            <w:pPr>
              <w:keepNext w:val="0"/>
              <w:keepLines w:val="0"/>
              <w:pageBreakBefore w:val="0"/>
              <w:widowControl w:val="0"/>
              <w:kinsoku/>
              <w:wordWrap/>
              <w:overflowPunct/>
              <w:topLinePunct w:val="0"/>
              <w:autoSpaceDE/>
              <w:autoSpaceDN/>
              <w:bidi w:val="0"/>
              <w:adjustRightInd/>
              <w:snapToGrid w:val="0"/>
              <w:spacing w:before="469" w:beforeLines="150"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人大代表</w:t>
            </w:r>
          </w:p>
        </w:tc>
        <w:tc>
          <w:tcPr>
            <w:tcW w:w="750" w:type="dxa"/>
          </w:tcPr>
          <w:p>
            <w:pPr>
              <w:keepNext w:val="0"/>
              <w:keepLines w:val="0"/>
              <w:pageBreakBefore w:val="0"/>
              <w:widowControl w:val="0"/>
              <w:kinsoku/>
              <w:wordWrap/>
              <w:overflowPunct/>
              <w:topLinePunct w:val="0"/>
              <w:autoSpaceDE/>
              <w:autoSpaceDN/>
              <w:bidi w:val="0"/>
              <w:adjustRightInd/>
              <w:snapToGrid w:val="0"/>
              <w:spacing w:before="469" w:beforeLines="150"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政协委员</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部门代表</w:t>
            </w:r>
          </w:p>
        </w:tc>
        <w:tc>
          <w:tcPr>
            <w:tcW w:w="1009"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村（社区）代表</w:t>
            </w:r>
          </w:p>
        </w:tc>
        <w:tc>
          <w:tcPr>
            <w:tcW w:w="118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管理对象</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（权重30%）</w:t>
            </w:r>
          </w:p>
        </w:tc>
        <w:tc>
          <w:tcPr>
            <w:tcW w:w="112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服务对象</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（权重70%）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850" w:type="dxa"/>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方正黑体_GBK" w:hAnsi="方正黑体_GBK" w:eastAsia="方正黑体_GBK" w:cs="方正黑体_GBK"/>
                <w:color w:val="000000"/>
                <w:sz w:val="32"/>
                <w:szCs w:val="32"/>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党群、人大、政协等机关部门</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1235</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仿宋_GB2312" w:cs="仿宋_GB2312"/>
                <w:color w:val="000000"/>
                <w:sz w:val="32"/>
                <w:szCs w:val="32"/>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13</w:t>
            </w:r>
          </w:p>
        </w:tc>
        <w:tc>
          <w:tcPr>
            <w:tcW w:w="64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10</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10</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10</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12</w:t>
            </w:r>
          </w:p>
        </w:tc>
        <w:tc>
          <w:tcPr>
            <w:tcW w:w="1009"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3</w:t>
            </w:r>
          </w:p>
        </w:tc>
        <w:tc>
          <w:tcPr>
            <w:tcW w:w="118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仿宋_GBK" w:hAnsi="方正仿宋_GBK" w:eastAsia="方正仿宋_GBK" w:cs="方正仿宋_GBK"/>
                <w:color w:val="000000"/>
                <w:kern w:val="2"/>
                <w:sz w:val="21"/>
                <w:szCs w:val="21"/>
                <w:vertAlign w:val="baseline"/>
                <w:lang w:val="en-US" w:eastAsia="zh-CN" w:bidi="ar-SA"/>
              </w:rPr>
            </w:pPr>
            <w:r>
              <w:rPr>
                <w:rFonts w:hint="eastAsia" w:ascii="方正仿宋_GBK" w:hAnsi="方正仿宋_GBK" w:eastAsia="方正仿宋_GBK" w:cs="方正仿宋_GBK"/>
                <w:color w:val="000000"/>
                <w:sz w:val="21"/>
                <w:szCs w:val="21"/>
                <w:vertAlign w:val="baseline"/>
                <w:lang w:val="en-US" w:eastAsia="zh-CN"/>
              </w:rPr>
              <w:t>15</w:t>
            </w:r>
          </w:p>
        </w:tc>
        <w:tc>
          <w:tcPr>
            <w:tcW w:w="112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仿宋_GBK" w:hAnsi="方正仿宋_GBK" w:eastAsia="方正仿宋_GBK" w:cs="方正仿宋_GBK"/>
                <w:color w:val="000000"/>
                <w:kern w:val="2"/>
                <w:sz w:val="21"/>
                <w:szCs w:val="21"/>
                <w:vertAlign w:val="baseline"/>
                <w:lang w:val="en-US" w:eastAsia="zh-CN" w:bidi="ar-SA"/>
              </w:rPr>
            </w:pPr>
            <w:r>
              <w:rPr>
                <w:rFonts w:hint="eastAsia" w:ascii="方正仿宋_GBK" w:hAnsi="方正仿宋_GBK" w:eastAsia="方正仿宋_GBK" w:cs="方正仿宋_GBK"/>
                <w:color w:val="000000"/>
                <w:sz w:val="21"/>
                <w:szCs w:val="21"/>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850" w:type="dxa"/>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方正黑体_GBK" w:hAnsi="方正黑体_GBK" w:eastAsia="方正黑体_GBK" w:cs="方正黑体_GBK"/>
                <w:color w:val="000000"/>
                <w:sz w:val="32"/>
                <w:szCs w:val="32"/>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政府工作部门</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1900</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20</w:t>
            </w:r>
          </w:p>
        </w:tc>
        <w:tc>
          <w:tcPr>
            <w:tcW w:w="64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10</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10</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10</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12</w:t>
            </w:r>
          </w:p>
        </w:tc>
        <w:tc>
          <w:tcPr>
            <w:tcW w:w="1009"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3</w:t>
            </w:r>
          </w:p>
        </w:tc>
        <w:tc>
          <w:tcPr>
            <w:tcW w:w="118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仿宋_GBK" w:hAnsi="方正仿宋_GBK" w:eastAsia="方正仿宋_GBK" w:cs="方正仿宋_GBK"/>
                <w:color w:val="000000"/>
                <w:kern w:val="2"/>
                <w:sz w:val="21"/>
                <w:szCs w:val="21"/>
                <w:vertAlign w:val="baseline"/>
                <w:lang w:val="en-US" w:eastAsia="zh-CN" w:bidi="ar-SA"/>
              </w:rPr>
            </w:pPr>
            <w:r>
              <w:rPr>
                <w:rFonts w:hint="eastAsia" w:ascii="方正仿宋_GBK" w:hAnsi="方正仿宋_GBK" w:eastAsia="方正仿宋_GBK" w:cs="方正仿宋_GBK"/>
                <w:color w:val="000000"/>
                <w:sz w:val="21"/>
                <w:szCs w:val="21"/>
                <w:vertAlign w:val="baseline"/>
                <w:lang w:val="en-US" w:eastAsia="zh-CN"/>
              </w:rPr>
              <w:t>15</w:t>
            </w:r>
          </w:p>
        </w:tc>
        <w:tc>
          <w:tcPr>
            <w:tcW w:w="112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仿宋_GBK" w:hAnsi="方正仿宋_GBK" w:eastAsia="方正仿宋_GBK" w:cs="方正仿宋_GBK"/>
                <w:color w:val="000000"/>
                <w:kern w:val="2"/>
                <w:sz w:val="21"/>
                <w:szCs w:val="21"/>
                <w:vertAlign w:val="baseline"/>
                <w:lang w:val="en-US" w:eastAsia="zh-CN" w:bidi="ar-SA"/>
              </w:rPr>
            </w:pPr>
            <w:r>
              <w:rPr>
                <w:rFonts w:hint="eastAsia" w:ascii="方正仿宋_GBK" w:hAnsi="方正仿宋_GBK" w:eastAsia="方正仿宋_GBK" w:cs="方正仿宋_GBK"/>
                <w:color w:val="000000"/>
                <w:sz w:val="21"/>
                <w:szCs w:val="21"/>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8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合计</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3135</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33</w:t>
            </w:r>
          </w:p>
        </w:tc>
        <w:tc>
          <w:tcPr>
            <w:tcW w:w="64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仿宋_GB2312" w:cs="仿宋_GB2312"/>
                <w:color w:val="000000"/>
                <w:sz w:val="32"/>
                <w:szCs w:val="32"/>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000000"/>
                <w:sz w:val="32"/>
                <w:szCs w:val="32"/>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000000"/>
                <w:sz w:val="32"/>
                <w:szCs w:val="32"/>
                <w:vertAlign w:val="baseline"/>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000000"/>
                <w:sz w:val="32"/>
                <w:szCs w:val="32"/>
                <w:vertAlign w:val="baseline"/>
                <w:lang w:val="en-US" w:eastAsia="zh-CN"/>
              </w:rPr>
            </w:pPr>
          </w:p>
        </w:tc>
        <w:tc>
          <w:tcPr>
            <w:tcW w:w="1009"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000000"/>
                <w:sz w:val="32"/>
                <w:szCs w:val="32"/>
                <w:vertAlign w:val="baseline"/>
                <w:lang w:val="en-US" w:eastAsia="zh-CN"/>
              </w:rPr>
            </w:pPr>
          </w:p>
        </w:tc>
        <w:tc>
          <w:tcPr>
            <w:tcW w:w="118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000000"/>
                <w:sz w:val="32"/>
                <w:szCs w:val="32"/>
                <w:vertAlign w:val="baseline"/>
                <w:lang w:val="en-US" w:eastAsia="zh-CN"/>
              </w:rPr>
            </w:pPr>
          </w:p>
        </w:tc>
        <w:tc>
          <w:tcPr>
            <w:tcW w:w="112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000000"/>
                <w:sz w:val="32"/>
                <w:szCs w:val="32"/>
                <w:vertAlign w:val="baseline"/>
                <w:lang w:val="en-US" w:eastAsia="zh-CN"/>
              </w:rPr>
            </w:pPr>
          </w:p>
        </w:tc>
      </w:tr>
    </w:tbl>
    <w:p>
      <w:pPr>
        <w:pStyle w:val="4"/>
        <w:pageBreakBefore w:val="0"/>
        <w:widowControl w:val="0"/>
        <w:kinsoku/>
        <w:wordWrap/>
        <w:overflowPunct/>
        <w:topLinePunct w:val="0"/>
        <w:autoSpaceDE/>
        <w:autoSpaceDN/>
        <w:bidi w:val="0"/>
        <w:adjustRightInd/>
        <w:spacing w:beforeLines="0" w:afterLines="0" w:line="578" w:lineRule="exact"/>
        <w:ind w:firstLine="640"/>
        <w:textAlignment w:val="auto"/>
        <w:rPr>
          <w:rFonts w:hint="eastAsia" w:ascii="Arial" w:hAnsi="Arial"/>
          <w:b w:val="0"/>
          <w:lang w:val="en-US" w:eastAsia="zh-CN"/>
        </w:rPr>
      </w:pPr>
      <w:bookmarkStart w:id="54" w:name="_Toc15083"/>
      <w:bookmarkStart w:id="55" w:name="_Toc511507945"/>
      <w:bookmarkStart w:id="56" w:name="_Toc869537797"/>
      <w:bookmarkStart w:id="57" w:name="_Toc107220349_WPSOffice_Level2"/>
      <w:bookmarkStart w:id="58" w:name="_Toc30140_WPSOffice_Level2"/>
      <w:bookmarkStart w:id="59" w:name="_Toc1023211471"/>
      <w:r>
        <w:rPr>
          <w:rFonts w:hint="eastAsia" w:ascii="Arial" w:hAnsi="Arial"/>
          <w:b w:val="0"/>
          <w:lang w:val="en-US" w:eastAsia="zh-CN"/>
        </w:rPr>
        <w:t>（七）调查时间</w:t>
      </w:r>
      <w:bookmarkEnd w:id="54"/>
      <w:bookmarkEnd w:id="55"/>
      <w:bookmarkEnd w:id="56"/>
      <w:bookmarkEnd w:id="57"/>
      <w:bookmarkEnd w:id="58"/>
      <w:bookmarkEnd w:id="59"/>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bookmarkStart w:id="60" w:name="_Toc2132391738"/>
      <w:bookmarkStart w:id="61" w:name="_Toc964957118"/>
      <w:r>
        <w:rPr>
          <w:rFonts w:hint="eastAsia" w:ascii="Times New Roman" w:hAnsi="Times New Roman" w:eastAsia="仿宋_GB2312" w:cs="Times New Roman"/>
          <w:sz w:val="32"/>
          <w:szCs w:val="32"/>
          <w:lang w:val="en-US" w:eastAsia="zh-CN"/>
        </w:rPr>
        <w:t>本次社会评价工作开展时间为2025年</w:t>
      </w:r>
      <w:r>
        <w:rPr>
          <w:rFonts w:hint="default" w:ascii="Times New Roman" w:hAnsi="Times New Roman" w:eastAsia="仿宋_GB2312" w:cs="Times New Roman"/>
          <w:sz w:val="32"/>
          <w:szCs w:val="32"/>
          <w:lang w:val="en" w:eastAsia="zh-CN"/>
        </w:rPr>
        <w:t>1</w:t>
      </w:r>
      <w:r>
        <w:rPr>
          <w:rFonts w:hint="eastAsia" w:ascii="Times New Roman" w:hAnsi="Times New Roman" w:eastAsia="仿宋_GB2312" w:cs="Times New Roman"/>
          <w:sz w:val="32"/>
          <w:szCs w:val="32"/>
          <w:lang w:val="en-US" w:eastAsia="zh-CN"/>
        </w:rPr>
        <w:t>月16日至2025年2月21日，具体安排如下：</w:t>
      </w:r>
      <w:bookmarkEnd w:id="60"/>
      <w:bookmarkEnd w:id="61"/>
    </w:p>
    <w:p>
      <w:pPr>
        <w:keepNext w:val="0"/>
        <w:keepLines w:val="0"/>
        <w:pageBreakBefore w:val="0"/>
        <w:widowControl w:val="0"/>
        <w:kinsoku/>
        <w:wordWrap/>
        <w:overflowPunct/>
        <w:topLinePunct w:val="0"/>
        <w:autoSpaceDE/>
        <w:autoSpaceDN/>
        <w:bidi w:val="0"/>
        <w:adjustRightInd/>
        <w:snapToGrid w:val="0"/>
        <w:spacing w:line="578" w:lineRule="exact"/>
        <w:ind w:firstLine="642"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1.</w:t>
      </w:r>
      <w:r>
        <w:rPr>
          <w:rFonts w:hint="eastAsia" w:ascii="方正仿宋_GBK" w:hAnsi="方正仿宋_GBK" w:eastAsia="方正仿宋_GBK" w:cs="方正仿宋_GBK"/>
          <w:b/>
          <w:bCs/>
          <w:sz w:val="32"/>
          <w:szCs w:val="32"/>
          <w:lang w:eastAsia="zh-CN"/>
        </w:rPr>
        <w:t>准备工作（</w:t>
      </w:r>
      <w:r>
        <w:rPr>
          <w:rFonts w:hint="eastAsia" w:ascii="方正仿宋_GBK" w:hAnsi="方正仿宋_GBK" w:eastAsia="方正仿宋_GBK" w:cs="方正仿宋_GBK"/>
          <w:b/>
          <w:bCs/>
          <w:sz w:val="32"/>
          <w:szCs w:val="32"/>
          <w:lang w:val="en-US" w:eastAsia="zh-CN"/>
        </w:rPr>
        <w:t>2025年1月16日—2025年1月20日</w:t>
      </w:r>
      <w:r>
        <w:rPr>
          <w:rFonts w:hint="eastAsia" w:ascii="方正仿宋_GBK" w:hAnsi="方正仿宋_GBK" w:eastAsia="方正仿宋_GBK" w:cs="方正仿宋_GBK"/>
          <w:b/>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起草《2024年度三亚市天涯区综合考核社会评价调查工作方案》报市统计局审批备案。</w:t>
      </w:r>
    </w:p>
    <w:p>
      <w:pPr>
        <w:keepNext w:val="0"/>
        <w:keepLines w:val="0"/>
        <w:pageBreakBefore w:val="0"/>
        <w:widowControl w:val="0"/>
        <w:kinsoku/>
        <w:wordWrap/>
        <w:overflowPunct/>
        <w:topLinePunct w:val="0"/>
        <w:autoSpaceDE/>
        <w:autoSpaceDN/>
        <w:bidi w:val="0"/>
        <w:adjustRightInd/>
        <w:snapToGrid w:val="0"/>
        <w:spacing w:line="578" w:lineRule="exact"/>
        <w:ind w:firstLine="642"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lang w:eastAsia="zh-CN"/>
        </w:rPr>
        <w:t>报送评价</w:t>
      </w:r>
      <w:r>
        <w:rPr>
          <w:rFonts w:hint="eastAsia" w:ascii="方正仿宋_GBK" w:hAnsi="方正仿宋_GBK" w:eastAsia="方正仿宋_GBK" w:cs="方正仿宋_GBK"/>
          <w:b/>
          <w:bCs/>
          <w:sz w:val="32"/>
          <w:szCs w:val="32"/>
        </w:rPr>
        <w:t>材料</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2025年1月22日前报送）</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（1）提供参阅材料</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被评单位要围绕社会评价内容（区直机关共6个方面）开展2024年工作情况总结（总结1200字内，要求必须领导把关，并加盖单位公章），将</w:t>
      </w:r>
      <w:r>
        <w:rPr>
          <w:rFonts w:hint="default" w:ascii="Times New Roman" w:hAnsi="Times New Roman" w:eastAsia="仿宋_GB2312" w:cs="Times New Roman"/>
          <w:b/>
          <w:bCs/>
          <w:color w:val="auto"/>
          <w:sz w:val="32"/>
          <w:szCs w:val="32"/>
          <w:lang w:eastAsia="zh-CN"/>
        </w:rPr>
        <w:t>PDF盖章版及</w:t>
      </w:r>
      <w:r>
        <w:rPr>
          <w:rFonts w:hint="eastAsia" w:ascii="Times New Roman" w:hAnsi="Times New Roman" w:eastAsia="仿宋_GB2312" w:cs="Times New Roman"/>
          <w:b/>
          <w:bCs/>
          <w:color w:val="auto"/>
          <w:sz w:val="32"/>
          <w:szCs w:val="32"/>
          <w:lang w:val="en-US" w:eastAsia="zh-CN"/>
        </w:rPr>
        <w:t>WORD文档</w:t>
      </w:r>
      <w:r>
        <w:rPr>
          <w:rFonts w:hint="eastAsia" w:ascii="Times New Roman" w:hAnsi="Times New Roman" w:eastAsia="仿宋_GB2312" w:cs="Times New Roman"/>
          <w:sz w:val="32"/>
          <w:szCs w:val="32"/>
          <w:lang w:val="en-US" w:eastAsia="zh-CN"/>
        </w:rPr>
        <w:t>报送至</w:t>
      </w:r>
      <w:r>
        <w:rPr>
          <w:rFonts w:hint="eastAsia" w:ascii="Times New Roman" w:hAnsi="Times New Roman" w:eastAsia="仿宋_GB2312" w:cs="Times New Roman"/>
          <w:color w:val="auto"/>
          <w:sz w:val="32"/>
          <w:szCs w:val="32"/>
          <w:lang w:val="en-US" w:eastAsia="zh-CN"/>
        </w:rPr>
        <w:t>天涯</w:t>
      </w:r>
      <w:r>
        <w:rPr>
          <w:rFonts w:hint="default" w:ascii="Times New Roman" w:hAnsi="Times New Roman" w:eastAsia="仿宋_GB2312" w:cs="Times New Roman"/>
          <w:color w:val="auto"/>
          <w:sz w:val="32"/>
          <w:szCs w:val="32"/>
          <w:lang w:val="en-US" w:eastAsia="zh-CN"/>
        </w:rPr>
        <w:t>区统计局</w:t>
      </w:r>
      <w:r>
        <w:rPr>
          <w:rFonts w:hint="eastAsia" w:ascii="Times New Roman" w:hAnsi="Times New Roman" w:eastAsia="仿宋_GB2312" w:cs="Times New Roman"/>
          <w:color w:val="auto"/>
          <w:sz w:val="32"/>
          <w:szCs w:val="32"/>
          <w:lang w:val="en-US" w:eastAsia="zh-CN"/>
        </w:rPr>
        <w:t>麦名曼海政通处</w:t>
      </w:r>
      <w:r>
        <w:rPr>
          <w:rFonts w:hint="eastAsia" w:ascii="Times New Roman" w:hAnsi="Times New Roman" w:eastAsia="仿宋_GB2312" w:cs="Times New Roman"/>
          <w:sz w:val="32"/>
          <w:szCs w:val="32"/>
          <w:lang w:val="en-US" w:eastAsia="zh-CN"/>
        </w:rPr>
        <w:t>，供代表集中问卷评价集中测评代表参阅。</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（2）提供电话号码样本库</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被评单位必须提供本单位系统全部管理对象、服务对象电话号码样本库（仅手机号码），内容栏目包括序号、手机号码、所属单位、所属区域、管理对象/服务对象共5项栏目内容</w:t>
      </w:r>
      <w:r>
        <w:rPr>
          <w:rFonts w:hint="default" w:ascii="Times New Roman" w:hAnsi="Times New Roman" w:eastAsia="仿宋_GB2312" w:cs="Times New Roman"/>
          <w:color w:val="auto"/>
          <w:sz w:val="32"/>
          <w:szCs w:val="32"/>
          <w:lang w:val="en-US" w:eastAsia="zh-CN"/>
        </w:rPr>
        <w:t>以</w:t>
      </w:r>
      <w:r>
        <w:rPr>
          <w:rFonts w:hint="default" w:ascii="Times New Roman" w:hAnsi="Times New Roman" w:eastAsia="仿宋_GB2312" w:cs="Times New Roman"/>
          <w:b/>
          <w:bCs/>
          <w:color w:val="auto"/>
          <w:sz w:val="32"/>
          <w:szCs w:val="32"/>
          <w:lang w:val="en-US" w:eastAsia="zh-CN"/>
        </w:rPr>
        <w:t>Excel电子表格格式</w:t>
      </w:r>
      <w:r>
        <w:rPr>
          <w:rFonts w:hint="default" w:ascii="Times New Roman" w:hAnsi="Times New Roman" w:eastAsia="仿宋_GB2312" w:cs="Times New Roman"/>
          <w:color w:val="auto"/>
          <w:sz w:val="32"/>
          <w:szCs w:val="32"/>
          <w:lang w:val="en-US" w:eastAsia="zh-CN"/>
        </w:rPr>
        <w:t>报送</w:t>
      </w:r>
      <w:r>
        <w:rPr>
          <w:rFonts w:hint="eastAsia" w:ascii="Times New Roman" w:hAnsi="Times New Roman" w:eastAsia="仿宋_GB2312" w:cs="Times New Roman"/>
          <w:color w:val="auto"/>
          <w:sz w:val="32"/>
          <w:szCs w:val="32"/>
          <w:lang w:val="en-US" w:eastAsia="zh-CN"/>
        </w:rPr>
        <w:t>至天涯</w:t>
      </w:r>
      <w:r>
        <w:rPr>
          <w:rFonts w:hint="default" w:ascii="Times New Roman" w:hAnsi="Times New Roman" w:eastAsia="仿宋_GB2312" w:cs="Times New Roman"/>
          <w:color w:val="auto"/>
          <w:sz w:val="32"/>
          <w:szCs w:val="32"/>
          <w:lang w:val="en-US" w:eastAsia="zh-CN"/>
        </w:rPr>
        <w:t>区统计局</w:t>
      </w:r>
      <w:r>
        <w:rPr>
          <w:rFonts w:hint="eastAsia" w:ascii="Times New Roman" w:hAnsi="Times New Roman" w:eastAsia="仿宋_GB2312" w:cs="Times New Roman"/>
          <w:color w:val="auto"/>
          <w:sz w:val="32"/>
          <w:szCs w:val="32"/>
          <w:lang w:val="en-US" w:eastAsia="zh-CN"/>
        </w:rPr>
        <w:t>麦名曼海政通处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管理对象是指各被评单位2024年所有在职工作人员；服务对象是指各被评单位政务服务窗口服务对象、</w:t>
      </w:r>
      <w:r>
        <w:rPr>
          <w:rFonts w:hint="eastAsia" w:ascii="Times New Roman" w:hAnsi="Times New Roman" w:eastAsia="仿宋_GB2312" w:cs="Times New Roman"/>
          <w:color w:val="auto"/>
          <w:sz w:val="32"/>
          <w:szCs w:val="32"/>
          <w:lang w:val="en-US" w:eastAsia="zh-CN"/>
        </w:rPr>
        <w:t>管辖的企事业单位人员及包点单位的人员</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（3）提供参加代表集中问卷评价代表名单</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由区委组织部提供30名区党代表及3名村（社区）代表的姓名、单位、职务和手机号码；区人大办提供30名区人大代表及2名区人大机关在编在岗人员的姓名、单位、职务和手机号码；区政协办提供30名区政协委员及2名区政协机关在编在岗人员的姓名、单位、职务和手机号码；区直有关部门提供8名部门代表的姓名、单位、职务和手机号码，其中区纪委监委机关1名、区委办公室1名、区政府办公室1名、区发</w:t>
      </w:r>
      <w:r>
        <w:rPr>
          <w:rFonts w:hint="eastAsia" w:ascii="Times New Roman" w:hAnsi="Times New Roman" w:eastAsia="仿宋_GB2312" w:cs="Times New Roman"/>
          <w:sz w:val="32"/>
          <w:szCs w:val="32"/>
          <w:lang w:val="en-US" w:eastAsia="zh-CN"/>
        </w:rPr>
        <w:t>展改革</w:t>
      </w:r>
      <w:r>
        <w:rPr>
          <w:rFonts w:hint="default" w:ascii="Times New Roman" w:hAnsi="Times New Roman" w:eastAsia="仿宋_GB2312" w:cs="Times New Roman"/>
          <w:sz w:val="32"/>
          <w:szCs w:val="32"/>
          <w:lang w:val="en-US" w:eastAsia="zh-CN"/>
        </w:rPr>
        <w:t>委1名、区营商环境建设局1名、区财政局1名、区审计局1名、区统计局1名。</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为确保本次社会评价工作顺利开展，被评单位要及时</w:t>
      </w:r>
      <w:r>
        <w:rPr>
          <w:rFonts w:hint="eastAsia"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评价材料</w:t>
      </w:r>
      <w:r>
        <w:rPr>
          <w:rFonts w:hint="eastAsia" w:ascii="Times New Roman" w:hAnsi="Times New Roman" w:eastAsia="仿宋_GB2312" w:cs="Times New Roman"/>
          <w:sz w:val="32"/>
          <w:szCs w:val="32"/>
          <w:lang w:val="en-US" w:eastAsia="zh-CN"/>
        </w:rPr>
        <w:t>报送至</w:t>
      </w:r>
      <w:r>
        <w:rPr>
          <w:rFonts w:hint="eastAsia" w:ascii="Times New Roman" w:hAnsi="Times New Roman" w:eastAsia="仿宋_GB2312" w:cs="Times New Roman"/>
          <w:color w:val="auto"/>
          <w:sz w:val="32"/>
          <w:szCs w:val="32"/>
          <w:lang w:val="en-US" w:eastAsia="zh-CN"/>
        </w:rPr>
        <w:t>天涯</w:t>
      </w:r>
      <w:r>
        <w:rPr>
          <w:rFonts w:hint="default" w:ascii="Times New Roman" w:hAnsi="Times New Roman" w:eastAsia="仿宋_GB2312" w:cs="Times New Roman"/>
          <w:color w:val="auto"/>
          <w:sz w:val="32"/>
          <w:szCs w:val="32"/>
          <w:lang w:val="en-US" w:eastAsia="zh-CN"/>
        </w:rPr>
        <w:t>区统计局</w:t>
      </w:r>
      <w:r>
        <w:rPr>
          <w:rFonts w:hint="eastAsia" w:ascii="Times New Roman" w:hAnsi="Times New Roman" w:eastAsia="仿宋_GB2312" w:cs="Times New Roman"/>
          <w:color w:val="auto"/>
          <w:sz w:val="32"/>
          <w:szCs w:val="32"/>
          <w:lang w:val="en-US" w:eastAsia="zh-CN"/>
        </w:rPr>
        <w:t>麦名曼海政通处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78" w:lineRule="exact"/>
        <w:ind w:firstLine="642" w:firstLineChars="200"/>
        <w:textAlignment w:val="auto"/>
        <w:rPr>
          <w:rFonts w:hint="default" w:ascii="方正仿宋_GBK" w:hAnsi="方正仿宋_GBK" w:eastAsia="方正仿宋_GBK" w:cs="方正仿宋_GBK"/>
          <w:b/>
          <w:bCs/>
          <w:i w:val="0"/>
          <w:iCs w:val="0"/>
          <w:color w:val="000000" w:themeColor="text1"/>
          <w:sz w:val="32"/>
          <w:szCs w:val="32"/>
          <w:lang w:val="en-US" w:eastAsia="zh-CN"/>
        </w:rPr>
      </w:pPr>
      <w:r>
        <w:rPr>
          <w:rFonts w:hint="eastAsia" w:ascii="方正仿宋_GBK" w:hAnsi="方正仿宋_GBK" w:eastAsia="方正仿宋_GBK" w:cs="方正仿宋_GBK"/>
          <w:b/>
          <w:bCs/>
          <w:i w:val="0"/>
          <w:iCs w:val="0"/>
          <w:color w:val="000000" w:themeColor="text1"/>
          <w:sz w:val="32"/>
          <w:szCs w:val="32"/>
          <w:highlight w:val="none"/>
          <w:lang w:val="en-US" w:eastAsia="zh-CN"/>
        </w:rPr>
        <w:t>3</w:t>
      </w:r>
      <w:r>
        <w:rPr>
          <w:rFonts w:hint="eastAsia" w:ascii="方正仿宋_GBK" w:hAnsi="方正仿宋_GBK" w:eastAsia="方正仿宋_GBK" w:cs="方正仿宋_GBK"/>
          <w:b/>
          <w:bCs/>
          <w:i w:val="0"/>
          <w:iCs w:val="0"/>
          <w:color w:val="000000" w:themeColor="text1"/>
          <w:sz w:val="32"/>
          <w:szCs w:val="32"/>
          <w:lang w:val="en-US" w:eastAsia="zh-CN"/>
        </w:rPr>
        <w:t>.</w:t>
      </w:r>
      <w:r>
        <w:rPr>
          <w:rFonts w:hint="default" w:ascii="方正仿宋_GBK" w:hAnsi="方正仿宋_GBK" w:eastAsia="方正仿宋_GBK" w:cs="方正仿宋_GBK"/>
          <w:b/>
          <w:bCs/>
          <w:i w:val="0"/>
          <w:iCs w:val="0"/>
          <w:color w:val="000000" w:themeColor="text1"/>
          <w:sz w:val="32"/>
          <w:szCs w:val="32"/>
          <w:lang w:val="en-US" w:eastAsia="zh-CN"/>
        </w:rPr>
        <w:t>随机电话访问评价电话样本抽取</w:t>
      </w:r>
      <w:r>
        <w:rPr>
          <w:rFonts w:hint="eastAsia" w:ascii="方正仿宋_GBK" w:hAnsi="方正仿宋_GBK" w:eastAsia="方正仿宋_GBK" w:cs="方正仿宋_GBK"/>
          <w:b/>
          <w:bCs/>
          <w:i w:val="0"/>
          <w:iCs w:val="0"/>
          <w:color w:val="000000" w:themeColor="text1"/>
          <w:sz w:val="32"/>
          <w:szCs w:val="32"/>
          <w:lang w:val="en-US" w:eastAsia="zh-CN"/>
        </w:rPr>
        <w:t>（</w:t>
      </w:r>
      <w:r>
        <w:rPr>
          <w:rFonts w:hint="default" w:ascii="方正仿宋_GBK" w:hAnsi="方正仿宋_GBK" w:eastAsia="方正仿宋_GBK" w:cs="方正仿宋_GBK"/>
          <w:b/>
          <w:bCs/>
          <w:i w:val="0"/>
          <w:iCs w:val="0"/>
          <w:color w:val="000000" w:themeColor="text1"/>
          <w:sz w:val="32"/>
          <w:szCs w:val="32"/>
          <w:lang w:val="en-US" w:eastAsia="zh-CN"/>
        </w:rPr>
        <w:t>202</w:t>
      </w:r>
      <w:r>
        <w:rPr>
          <w:rFonts w:hint="eastAsia" w:ascii="方正仿宋_GBK" w:hAnsi="方正仿宋_GBK" w:eastAsia="方正仿宋_GBK" w:cs="方正仿宋_GBK"/>
          <w:b/>
          <w:bCs/>
          <w:i w:val="0"/>
          <w:iCs w:val="0"/>
          <w:color w:val="000000" w:themeColor="text1"/>
          <w:sz w:val="32"/>
          <w:szCs w:val="32"/>
          <w:lang w:val="en-US" w:eastAsia="zh-CN"/>
        </w:rPr>
        <w:t>5</w:t>
      </w:r>
      <w:r>
        <w:rPr>
          <w:rFonts w:hint="default" w:ascii="方正仿宋_GBK" w:hAnsi="方正仿宋_GBK" w:eastAsia="方正仿宋_GBK" w:cs="方正仿宋_GBK"/>
          <w:b/>
          <w:bCs/>
          <w:i w:val="0"/>
          <w:iCs w:val="0"/>
          <w:color w:val="000000" w:themeColor="text1"/>
          <w:sz w:val="32"/>
          <w:szCs w:val="32"/>
          <w:lang w:val="en-US" w:eastAsia="zh-CN"/>
        </w:rPr>
        <w:t>年</w:t>
      </w:r>
      <w:r>
        <w:rPr>
          <w:rFonts w:hint="eastAsia" w:ascii="方正仿宋_GBK" w:hAnsi="方正仿宋_GBK" w:eastAsia="方正仿宋_GBK" w:cs="方正仿宋_GBK"/>
          <w:b/>
          <w:bCs/>
          <w:i w:val="0"/>
          <w:iCs w:val="0"/>
          <w:color w:val="000000" w:themeColor="text1"/>
          <w:sz w:val="32"/>
          <w:szCs w:val="32"/>
          <w:lang w:val="en-US" w:eastAsia="zh-CN"/>
        </w:rPr>
        <w:t>1</w:t>
      </w:r>
      <w:r>
        <w:rPr>
          <w:rFonts w:hint="default" w:ascii="方正仿宋_GBK" w:hAnsi="方正仿宋_GBK" w:eastAsia="方正仿宋_GBK" w:cs="方正仿宋_GBK"/>
          <w:b/>
          <w:bCs/>
          <w:i w:val="0"/>
          <w:iCs w:val="0"/>
          <w:color w:val="000000" w:themeColor="text1"/>
          <w:sz w:val="32"/>
          <w:szCs w:val="32"/>
          <w:lang w:val="en-US" w:eastAsia="zh-CN"/>
        </w:rPr>
        <w:t>月</w:t>
      </w:r>
      <w:r>
        <w:rPr>
          <w:rFonts w:hint="eastAsia" w:ascii="方正仿宋_GBK" w:hAnsi="方正仿宋_GBK" w:eastAsia="方正仿宋_GBK" w:cs="方正仿宋_GBK"/>
          <w:b/>
          <w:bCs/>
          <w:i w:val="0"/>
          <w:iCs w:val="0"/>
          <w:color w:val="000000" w:themeColor="text1"/>
          <w:sz w:val="32"/>
          <w:szCs w:val="32"/>
          <w:lang w:val="en-US" w:eastAsia="zh-CN"/>
        </w:rPr>
        <w:t>24</w:t>
      </w:r>
      <w:r>
        <w:rPr>
          <w:rFonts w:hint="default" w:ascii="方正仿宋_GBK" w:hAnsi="方正仿宋_GBK" w:eastAsia="方正仿宋_GBK" w:cs="方正仿宋_GBK"/>
          <w:b/>
          <w:bCs/>
          <w:i w:val="0"/>
          <w:iCs w:val="0"/>
          <w:color w:val="000000" w:themeColor="text1"/>
          <w:sz w:val="32"/>
          <w:szCs w:val="32"/>
          <w:lang w:val="en-US" w:eastAsia="zh-CN"/>
        </w:rPr>
        <w:t>日前完成</w:t>
      </w:r>
      <w:r>
        <w:rPr>
          <w:rFonts w:hint="eastAsia" w:ascii="方正仿宋_GBK" w:hAnsi="方正仿宋_GBK" w:eastAsia="方正仿宋_GBK" w:cs="方正仿宋_GBK"/>
          <w:b/>
          <w:bCs/>
          <w:i w:val="0"/>
          <w:iCs w:val="0"/>
          <w:color w:val="000000" w:themeColor="text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随机电话访问评价</w:t>
      </w:r>
      <w:r>
        <w:rPr>
          <w:rFonts w:hint="default" w:ascii="Times New Roman" w:hAnsi="Times New Roman" w:eastAsia="仿宋_GB2312" w:cs="Times New Roman"/>
          <w:b w:val="0"/>
          <w:bCs w:val="0"/>
          <w:sz w:val="32"/>
          <w:szCs w:val="32"/>
          <w:lang w:val="en-US" w:eastAsia="zh-CN"/>
        </w:rPr>
        <w:t>管理对象和服务对象样本由区统计局根据被评单位报送的电话号码样本库中随机抽取，管理对象，服务对象电话样本库不能满足调查需要时，由社会公众电话号码样本库进行补充，社会公众电话号码样本库从</w:t>
      </w:r>
      <w:r>
        <w:rPr>
          <w:rFonts w:hint="eastAsia" w:ascii="Times New Roman" w:hAnsi="Times New Roman" w:eastAsia="仿宋_GB2312" w:cs="Times New Roman"/>
          <w:b w:val="0"/>
          <w:bCs w:val="0"/>
          <w:sz w:val="32"/>
          <w:szCs w:val="32"/>
          <w:lang w:val="en-US" w:eastAsia="zh-CN"/>
        </w:rPr>
        <w:t>区</w:t>
      </w:r>
      <w:r>
        <w:rPr>
          <w:rFonts w:hint="default" w:ascii="Times New Roman" w:hAnsi="Times New Roman" w:eastAsia="仿宋_GB2312" w:cs="Times New Roman"/>
          <w:b w:val="0"/>
          <w:bCs w:val="0"/>
          <w:sz w:val="32"/>
          <w:szCs w:val="32"/>
          <w:lang w:val="en-US" w:eastAsia="zh-CN"/>
        </w:rPr>
        <w:t>统计局经济普查、人口普查电话号码样本库</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lang w:val="en-US" w:eastAsia="zh-CN"/>
        </w:rPr>
        <w:t>随机抽选。</w:t>
      </w:r>
    </w:p>
    <w:p>
      <w:pPr>
        <w:keepNext w:val="0"/>
        <w:keepLines w:val="0"/>
        <w:pageBreakBefore w:val="0"/>
        <w:widowControl w:val="0"/>
        <w:kinsoku/>
        <w:wordWrap/>
        <w:overflowPunct/>
        <w:topLinePunct w:val="0"/>
        <w:autoSpaceDE/>
        <w:autoSpaceDN/>
        <w:bidi w:val="0"/>
        <w:adjustRightInd/>
        <w:snapToGrid w:val="0"/>
        <w:spacing w:line="578" w:lineRule="exact"/>
        <w:ind w:firstLine="642" w:firstLineChars="200"/>
        <w:textAlignment w:val="auto"/>
        <w:rPr>
          <w:rFonts w:hint="default" w:ascii="方正仿宋_GBK" w:hAnsi="方正仿宋_GBK" w:eastAsia="方正仿宋_GBK" w:cs="方正仿宋_GBK"/>
          <w:b/>
          <w:bCs/>
          <w:i w:val="0"/>
          <w:iCs w:val="0"/>
          <w:color w:val="000000" w:themeColor="text1"/>
          <w:sz w:val="32"/>
          <w:szCs w:val="32"/>
          <w:lang w:val="en-US" w:eastAsia="zh-CN"/>
        </w:rPr>
      </w:pPr>
      <w:r>
        <w:rPr>
          <w:rFonts w:hint="eastAsia" w:ascii="方正仿宋_GBK" w:hAnsi="方正仿宋_GBK" w:eastAsia="方正仿宋_GBK" w:cs="方正仿宋_GBK"/>
          <w:b/>
          <w:bCs/>
          <w:i w:val="0"/>
          <w:iCs w:val="0"/>
          <w:color w:val="000000" w:themeColor="text1"/>
          <w:sz w:val="32"/>
          <w:szCs w:val="32"/>
          <w:lang w:val="en-US" w:eastAsia="zh-CN"/>
        </w:rPr>
        <w:t>4.代表集中问卷评价</w:t>
      </w:r>
      <w:r>
        <w:rPr>
          <w:rFonts w:hint="default" w:ascii="方正仿宋_GBK" w:hAnsi="方正仿宋_GBK" w:eastAsia="方正仿宋_GBK" w:cs="方正仿宋_GBK"/>
          <w:b/>
          <w:bCs/>
          <w:i w:val="0"/>
          <w:iCs w:val="0"/>
          <w:color w:val="000000" w:themeColor="text1"/>
          <w:sz w:val="32"/>
          <w:szCs w:val="32"/>
          <w:lang w:val="en-US" w:eastAsia="zh-CN"/>
        </w:rPr>
        <w:t>集中测评安排</w:t>
      </w:r>
      <w:r>
        <w:rPr>
          <w:rFonts w:hint="eastAsia" w:ascii="方正仿宋_GBK" w:hAnsi="方正仿宋_GBK" w:eastAsia="方正仿宋_GBK" w:cs="方正仿宋_GBK"/>
          <w:b/>
          <w:bCs/>
          <w:i w:val="0"/>
          <w:iCs w:val="0"/>
          <w:color w:val="000000" w:themeColor="text1"/>
          <w:sz w:val="32"/>
          <w:szCs w:val="32"/>
          <w:lang w:val="en-US" w:eastAsia="zh-CN"/>
        </w:rPr>
        <w:t>（</w:t>
      </w:r>
      <w:r>
        <w:rPr>
          <w:rFonts w:hint="default" w:ascii="方正仿宋_GBK" w:hAnsi="方正仿宋_GBK" w:eastAsia="方正仿宋_GBK" w:cs="方正仿宋_GBK"/>
          <w:b/>
          <w:bCs/>
          <w:i w:val="0"/>
          <w:iCs w:val="0"/>
          <w:color w:val="000000" w:themeColor="text1"/>
          <w:sz w:val="32"/>
          <w:szCs w:val="32"/>
          <w:lang w:val="en-US" w:eastAsia="zh-CN"/>
        </w:rPr>
        <w:t>202</w:t>
      </w:r>
      <w:r>
        <w:rPr>
          <w:rFonts w:hint="eastAsia" w:ascii="方正仿宋_GBK" w:hAnsi="方正仿宋_GBK" w:eastAsia="方正仿宋_GBK" w:cs="方正仿宋_GBK"/>
          <w:b/>
          <w:bCs/>
          <w:i w:val="0"/>
          <w:iCs w:val="0"/>
          <w:color w:val="000000" w:themeColor="text1"/>
          <w:sz w:val="32"/>
          <w:szCs w:val="32"/>
          <w:lang w:val="en-US" w:eastAsia="zh-CN"/>
        </w:rPr>
        <w:t>5</w:t>
      </w:r>
      <w:r>
        <w:rPr>
          <w:rFonts w:hint="default" w:ascii="方正仿宋_GBK" w:hAnsi="方正仿宋_GBK" w:eastAsia="方正仿宋_GBK" w:cs="方正仿宋_GBK"/>
          <w:b/>
          <w:bCs/>
          <w:i w:val="0"/>
          <w:iCs w:val="0"/>
          <w:color w:val="000000" w:themeColor="text1"/>
          <w:sz w:val="32"/>
          <w:szCs w:val="32"/>
          <w:lang w:val="en-US" w:eastAsia="zh-CN"/>
        </w:rPr>
        <w:t>年</w:t>
      </w:r>
      <w:r>
        <w:rPr>
          <w:rFonts w:hint="eastAsia" w:ascii="方正仿宋_GBK" w:hAnsi="方正仿宋_GBK" w:eastAsia="方正仿宋_GBK" w:cs="方正仿宋_GBK"/>
          <w:b/>
          <w:bCs/>
          <w:i w:val="0"/>
          <w:iCs w:val="0"/>
          <w:color w:val="000000" w:themeColor="text1"/>
          <w:sz w:val="32"/>
          <w:szCs w:val="32"/>
          <w:lang w:val="en-US" w:eastAsia="zh-CN"/>
        </w:rPr>
        <w:t>1</w:t>
      </w:r>
      <w:r>
        <w:rPr>
          <w:rFonts w:hint="default" w:ascii="方正仿宋_GBK" w:hAnsi="方正仿宋_GBK" w:eastAsia="方正仿宋_GBK" w:cs="方正仿宋_GBK"/>
          <w:b/>
          <w:bCs/>
          <w:i w:val="0"/>
          <w:iCs w:val="0"/>
          <w:color w:val="000000" w:themeColor="text1"/>
          <w:sz w:val="32"/>
          <w:szCs w:val="32"/>
          <w:lang w:val="en-US" w:eastAsia="zh-CN"/>
        </w:rPr>
        <w:t>月</w:t>
      </w:r>
      <w:r>
        <w:rPr>
          <w:rFonts w:hint="eastAsia" w:ascii="方正仿宋_GBK" w:hAnsi="方正仿宋_GBK" w:eastAsia="方正仿宋_GBK" w:cs="方正仿宋_GBK"/>
          <w:b/>
          <w:bCs/>
          <w:i w:val="0"/>
          <w:iCs w:val="0"/>
          <w:color w:val="000000" w:themeColor="text1"/>
          <w:sz w:val="32"/>
          <w:szCs w:val="32"/>
          <w:lang w:val="en-US" w:eastAsia="zh-CN"/>
        </w:rPr>
        <w:t>25</w:t>
      </w:r>
      <w:r>
        <w:rPr>
          <w:rFonts w:hint="default" w:ascii="方正仿宋_GBK" w:hAnsi="方正仿宋_GBK" w:eastAsia="方正仿宋_GBK" w:cs="方正仿宋_GBK"/>
          <w:b/>
          <w:bCs/>
          <w:i w:val="0"/>
          <w:iCs w:val="0"/>
          <w:color w:val="000000" w:themeColor="text1"/>
          <w:sz w:val="32"/>
          <w:szCs w:val="32"/>
          <w:lang w:val="en-US" w:eastAsia="zh-CN"/>
        </w:rPr>
        <w:t>日前完成</w:t>
      </w:r>
      <w:r>
        <w:rPr>
          <w:rFonts w:hint="eastAsia" w:ascii="方正仿宋_GBK" w:hAnsi="方正仿宋_GBK" w:eastAsia="方正仿宋_GBK" w:cs="方正仿宋_GBK"/>
          <w:b/>
          <w:bCs/>
          <w:i w:val="0"/>
          <w:iCs w:val="0"/>
          <w:color w:val="000000" w:themeColor="text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color w:val="000000" w:themeColor="text1"/>
          <w:sz w:val="32"/>
          <w:szCs w:val="32"/>
          <w:highlight w:val="none"/>
          <w:lang w:eastAsia="zh-CN"/>
        </w:rPr>
        <w:t>拟定于</w:t>
      </w:r>
      <w:r>
        <w:rPr>
          <w:rFonts w:hint="default" w:ascii="Times New Roman" w:hAnsi="Times New Roman" w:eastAsia="仿宋_GB2312" w:cs="Times New Roman"/>
          <w:color w:val="000000" w:themeColor="text1"/>
          <w:sz w:val="32"/>
          <w:szCs w:val="32"/>
          <w:highlight w:val="none"/>
        </w:rPr>
        <w:t>202</w:t>
      </w:r>
      <w:r>
        <w:rPr>
          <w:rFonts w:hint="eastAsia" w:ascii="Times New Roman" w:hAnsi="Times New Roman" w:eastAsia="仿宋_GB2312" w:cs="Times New Roman"/>
          <w:color w:val="000000" w:themeColor="text1"/>
          <w:sz w:val="32"/>
          <w:szCs w:val="32"/>
          <w:highlight w:val="none"/>
          <w:lang w:val="en-US" w:eastAsia="zh-CN"/>
        </w:rPr>
        <w:t>5</w:t>
      </w:r>
      <w:r>
        <w:rPr>
          <w:rFonts w:hint="default" w:ascii="Times New Roman" w:hAnsi="Times New Roman" w:eastAsia="仿宋_GB2312" w:cs="Times New Roman"/>
          <w:color w:val="000000" w:themeColor="text1"/>
          <w:sz w:val="32"/>
          <w:szCs w:val="32"/>
          <w:highlight w:val="none"/>
        </w:rPr>
        <w:t>年</w:t>
      </w:r>
      <w:r>
        <w:rPr>
          <w:rFonts w:hint="eastAsia" w:ascii="Times New Roman" w:hAnsi="Times New Roman" w:eastAsia="仿宋_GB2312" w:cs="Times New Roman"/>
          <w:color w:val="000000" w:themeColor="text1"/>
          <w:sz w:val="32"/>
          <w:szCs w:val="32"/>
          <w:highlight w:val="none"/>
          <w:lang w:val="en-US" w:eastAsia="zh-CN"/>
        </w:rPr>
        <w:t>1</w:t>
      </w:r>
      <w:r>
        <w:rPr>
          <w:rFonts w:hint="default" w:ascii="Times New Roman" w:hAnsi="Times New Roman" w:eastAsia="仿宋_GB2312" w:cs="Times New Roman"/>
          <w:color w:val="000000" w:themeColor="text1"/>
          <w:sz w:val="32"/>
          <w:szCs w:val="32"/>
          <w:highlight w:val="none"/>
        </w:rPr>
        <w:t>月</w:t>
      </w:r>
      <w:r>
        <w:rPr>
          <w:rFonts w:hint="eastAsia" w:ascii="Times New Roman" w:hAnsi="Times New Roman" w:eastAsia="仿宋_GB2312" w:cs="Times New Roman"/>
          <w:color w:val="000000" w:themeColor="text1"/>
          <w:sz w:val="32"/>
          <w:szCs w:val="32"/>
          <w:highlight w:val="none"/>
          <w:lang w:val="en-US" w:eastAsia="zh-CN"/>
        </w:rPr>
        <w:t>24</w:t>
      </w:r>
      <w:r>
        <w:rPr>
          <w:rFonts w:hint="default" w:ascii="Times New Roman" w:hAnsi="Times New Roman" w:eastAsia="仿宋_GB2312" w:cs="Times New Roman"/>
          <w:color w:val="000000" w:themeColor="text1"/>
          <w:sz w:val="32"/>
          <w:szCs w:val="32"/>
          <w:highlight w:val="none"/>
        </w:rPr>
        <w:t>日</w:t>
      </w:r>
      <w:r>
        <w:rPr>
          <w:rFonts w:hint="eastAsia" w:ascii="Times New Roman" w:hAnsi="Times New Roman" w:eastAsia="仿宋_GB2312" w:cs="Times New Roman"/>
          <w:color w:val="000000" w:themeColor="text1"/>
          <w:sz w:val="32"/>
          <w:szCs w:val="32"/>
          <w:highlight w:val="none"/>
          <w:lang w:eastAsia="zh-CN"/>
        </w:rPr>
        <w:t>上午</w:t>
      </w:r>
      <w:r>
        <w:rPr>
          <w:rFonts w:hint="eastAsia" w:ascii="Times New Roman" w:hAnsi="Times New Roman" w:eastAsia="仿宋_GB2312" w:cs="Times New Roman"/>
          <w:color w:val="000000" w:themeColor="text1"/>
          <w:sz w:val="32"/>
          <w:szCs w:val="32"/>
          <w:highlight w:val="none"/>
          <w:lang w:val="en-US" w:eastAsia="zh-CN"/>
        </w:rPr>
        <w:t>9：00至11：00</w:t>
      </w:r>
      <w:r>
        <w:rPr>
          <w:rFonts w:hint="default" w:ascii="Times New Roman" w:hAnsi="Times New Roman" w:eastAsia="仿宋_GB2312" w:cs="Times New Roman"/>
          <w:color w:val="000000" w:themeColor="text1"/>
          <w:sz w:val="32"/>
          <w:szCs w:val="32"/>
          <w:highlight w:val="none"/>
        </w:rPr>
        <w:t>在</w:t>
      </w:r>
      <w:r>
        <w:rPr>
          <w:rFonts w:hint="default" w:ascii="Times New Roman" w:hAnsi="Times New Roman" w:eastAsia="仿宋_GB2312" w:cs="Times New Roman"/>
          <w:color w:val="000000" w:themeColor="text1"/>
          <w:sz w:val="32"/>
          <w:szCs w:val="32"/>
          <w:highlight w:val="none"/>
          <w:lang w:eastAsia="zh-CN"/>
        </w:rPr>
        <w:t>区政府</w:t>
      </w:r>
      <w:r>
        <w:rPr>
          <w:rFonts w:hint="default" w:ascii="Times New Roman" w:hAnsi="Times New Roman" w:eastAsia="仿宋_GB2312" w:cs="Times New Roman"/>
          <w:color w:val="000000" w:themeColor="text1"/>
          <w:sz w:val="32"/>
          <w:szCs w:val="32"/>
          <w:highlight w:val="none"/>
          <w:lang w:val="en-US" w:eastAsia="zh-CN"/>
        </w:rPr>
        <w:t>5号楼3楼会议室</w:t>
      </w:r>
      <w:r>
        <w:rPr>
          <w:rFonts w:hint="default" w:ascii="Times New Roman" w:hAnsi="Times New Roman" w:eastAsia="仿宋_GB2312" w:cs="Times New Roman"/>
          <w:color w:val="000000" w:themeColor="text1"/>
          <w:sz w:val="32"/>
          <w:szCs w:val="32"/>
          <w:highlight w:val="none"/>
        </w:rPr>
        <w:t>，</w:t>
      </w:r>
      <w:r>
        <w:rPr>
          <w:rFonts w:hint="default" w:ascii="Times New Roman" w:hAnsi="Times New Roman" w:eastAsia="仿宋_GB2312" w:cs="Times New Roman"/>
          <w:color w:val="000000" w:themeColor="text1"/>
          <w:sz w:val="32"/>
          <w:szCs w:val="32"/>
          <w:highlight w:val="none"/>
          <w:lang w:eastAsia="zh-CN"/>
        </w:rPr>
        <w:t>区</w:t>
      </w:r>
      <w:r>
        <w:rPr>
          <w:rFonts w:hint="default" w:ascii="Times New Roman" w:hAnsi="Times New Roman" w:eastAsia="仿宋_GB2312" w:cs="Times New Roman"/>
          <w:color w:val="000000" w:themeColor="text1"/>
          <w:sz w:val="32"/>
          <w:szCs w:val="32"/>
          <w:highlight w:val="none"/>
        </w:rPr>
        <w:t>委组织部、</w:t>
      </w:r>
      <w:r>
        <w:rPr>
          <w:rFonts w:hint="default" w:ascii="Times New Roman" w:hAnsi="Times New Roman" w:eastAsia="仿宋_GB2312" w:cs="Times New Roman"/>
          <w:color w:val="000000" w:themeColor="text1"/>
          <w:sz w:val="32"/>
          <w:szCs w:val="32"/>
          <w:highlight w:val="none"/>
          <w:lang w:eastAsia="zh-CN"/>
        </w:rPr>
        <w:t>区</w:t>
      </w:r>
      <w:r>
        <w:rPr>
          <w:rFonts w:hint="default" w:ascii="Times New Roman" w:hAnsi="Times New Roman" w:eastAsia="仿宋_GB2312" w:cs="Times New Roman"/>
          <w:color w:val="000000" w:themeColor="text1"/>
          <w:sz w:val="32"/>
          <w:szCs w:val="32"/>
          <w:highlight w:val="none"/>
        </w:rPr>
        <w:t>人大办、</w:t>
      </w:r>
      <w:r>
        <w:rPr>
          <w:rFonts w:hint="default" w:ascii="Times New Roman" w:hAnsi="Times New Roman" w:eastAsia="仿宋_GB2312" w:cs="Times New Roman"/>
          <w:color w:val="000000" w:themeColor="text1"/>
          <w:sz w:val="32"/>
          <w:szCs w:val="32"/>
          <w:highlight w:val="none"/>
          <w:lang w:eastAsia="zh-CN"/>
        </w:rPr>
        <w:t>区</w:t>
      </w:r>
      <w:r>
        <w:rPr>
          <w:rFonts w:hint="default" w:ascii="Times New Roman" w:hAnsi="Times New Roman" w:eastAsia="仿宋_GB2312" w:cs="Times New Roman"/>
          <w:color w:val="000000" w:themeColor="text1"/>
          <w:sz w:val="32"/>
          <w:szCs w:val="32"/>
          <w:highlight w:val="none"/>
        </w:rPr>
        <w:t>政协办</w:t>
      </w:r>
      <w:r>
        <w:rPr>
          <w:rFonts w:hint="eastAsia" w:ascii="Times New Roman" w:hAnsi="Times New Roman" w:eastAsia="仿宋_GB2312" w:cs="Times New Roman"/>
          <w:color w:val="000000" w:themeColor="text1"/>
          <w:sz w:val="32"/>
          <w:szCs w:val="32"/>
          <w:highlight w:val="none"/>
          <w:lang w:eastAsia="zh-CN"/>
        </w:rPr>
        <w:t>、区统计局</w:t>
      </w:r>
      <w:r>
        <w:rPr>
          <w:rFonts w:hint="default" w:ascii="Times New Roman" w:hAnsi="Times New Roman" w:eastAsia="仿宋_GB2312" w:cs="Times New Roman"/>
          <w:color w:val="000000" w:themeColor="text1"/>
          <w:sz w:val="32"/>
          <w:szCs w:val="32"/>
          <w:highlight w:val="none"/>
        </w:rPr>
        <w:t>分别负责通知各抽选中的测评代表参会。</w:t>
      </w:r>
    </w:p>
    <w:p>
      <w:pPr>
        <w:keepNext w:val="0"/>
        <w:keepLines w:val="0"/>
        <w:pageBreakBefore w:val="0"/>
        <w:widowControl w:val="0"/>
        <w:kinsoku/>
        <w:wordWrap/>
        <w:overflowPunct/>
        <w:topLinePunct w:val="0"/>
        <w:autoSpaceDE/>
        <w:autoSpaceDN/>
        <w:bidi w:val="0"/>
        <w:adjustRightInd/>
        <w:snapToGrid w:val="0"/>
        <w:spacing w:line="578" w:lineRule="exact"/>
        <w:ind w:firstLine="642" w:firstLineChars="200"/>
        <w:textAlignment w:val="auto"/>
        <w:rPr>
          <w:rFonts w:hint="default" w:ascii="方正仿宋_GBK" w:hAnsi="方正仿宋_GBK" w:eastAsia="方正仿宋_GBK" w:cs="方正仿宋_GBK"/>
          <w:b/>
          <w:bCs/>
          <w:i w:val="0"/>
          <w:iCs w:val="0"/>
          <w:color w:val="000000" w:themeColor="text1"/>
          <w:sz w:val="32"/>
          <w:szCs w:val="32"/>
          <w:lang w:val="en-US" w:eastAsia="zh-CN"/>
        </w:rPr>
      </w:pPr>
      <w:r>
        <w:rPr>
          <w:rFonts w:hint="eastAsia" w:ascii="方正仿宋_GBK" w:hAnsi="方正仿宋_GBK" w:eastAsia="方正仿宋_GBK" w:cs="方正仿宋_GBK"/>
          <w:b/>
          <w:bCs/>
          <w:i w:val="0"/>
          <w:iCs w:val="0"/>
          <w:color w:val="000000" w:themeColor="text1"/>
          <w:sz w:val="32"/>
          <w:szCs w:val="32"/>
          <w:lang w:val="en-US" w:eastAsia="zh-CN"/>
        </w:rPr>
        <w:t>5.</w:t>
      </w:r>
      <w:r>
        <w:rPr>
          <w:rFonts w:hint="default" w:ascii="方正仿宋_GBK" w:hAnsi="方正仿宋_GBK" w:eastAsia="方正仿宋_GBK" w:cs="方正仿宋_GBK"/>
          <w:b/>
          <w:bCs/>
          <w:i w:val="0"/>
          <w:iCs w:val="0"/>
          <w:color w:val="000000" w:themeColor="text1"/>
          <w:sz w:val="32"/>
          <w:szCs w:val="32"/>
          <w:lang w:val="en-US" w:eastAsia="zh-CN"/>
        </w:rPr>
        <w:t>随机电话访问评价电话测评</w:t>
      </w:r>
      <w:r>
        <w:rPr>
          <w:rFonts w:hint="eastAsia" w:ascii="方正仿宋_GBK" w:hAnsi="方正仿宋_GBK" w:eastAsia="方正仿宋_GBK" w:cs="方正仿宋_GBK"/>
          <w:b/>
          <w:bCs/>
          <w:i w:val="0"/>
          <w:iCs w:val="0"/>
          <w:color w:val="000000" w:themeColor="text1"/>
          <w:sz w:val="32"/>
          <w:szCs w:val="32"/>
          <w:lang w:val="en-US" w:eastAsia="zh-CN"/>
        </w:rPr>
        <w:t>（</w:t>
      </w:r>
      <w:r>
        <w:rPr>
          <w:rFonts w:hint="default" w:ascii="方正仿宋_GBK" w:hAnsi="方正仿宋_GBK" w:eastAsia="方正仿宋_GBK" w:cs="方正仿宋_GBK"/>
          <w:b/>
          <w:bCs/>
          <w:i w:val="0"/>
          <w:iCs w:val="0"/>
          <w:color w:val="000000" w:themeColor="text1"/>
          <w:sz w:val="32"/>
          <w:szCs w:val="32"/>
          <w:lang w:val="en-US" w:eastAsia="zh-CN"/>
        </w:rPr>
        <w:t>202</w:t>
      </w:r>
      <w:r>
        <w:rPr>
          <w:rFonts w:hint="eastAsia" w:ascii="方正仿宋_GBK" w:hAnsi="方正仿宋_GBK" w:eastAsia="方正仿宋_GBK" w:cs="方正仿宋_GBK"/>
          <w:b/>
          <w:bCs/>
          <w:i w:val="0"/>
          <w:iCs w:val="0"/>
          <w:color w:val="000000" w:themeColor="text1"/>
          <w:sz w:val="32"/>
          <w:szCs w:val="32"/>
          <w:lang w:val="en-US" w:eastAsia="zh-CN"/>
        </w:rPr>
        <w:t>5</w:t>
      </w:r>
      <w:r>
        <w:rPr>
          <w:rFonts w:hint="default" w:ascii="方正仿宋_GBK" w:hAnsi="方正仿宋_GBK" w:eastAsia="方正仿宋_GBK" w:cs="方正仿宋_GBK"/>
          <w:b/>
          <w:bCs/>
          <w:i w:val="0"/>
          <w:iCs w:val="0"/>
          <w:color w:val="000000" w:themeColor="text1"/>
          <w:sz w:val="32"/>
          <w:szCs w:val="32"/>
          <w:lang w:val="en-US" w:eastAsia="zh-CN"/>
        </w:rPr>
        <w:t>年</w:t>
      </w:r>
      <w:r>
        <w:rPr>
          <w:rFonts w:hint="eastAsia" w:ascii="方正仿宋_GBK" w:hAnsi="方正仿宋_GBK" w:eastAsia="方正仿宋_GBK" w:cs="方正仿宋_GBK"/>
          <w:b/>
          <w:bCs/>
          <w:i w:val="0"/>
          <w:iCs w:val="0"/>
          <w:color w:val="000000" w:themeColor="text1"/>
          <w:sz w:val="32"/>
          <w:szCs w:val="32"/>
          <w:lang w:val="en-US" w:eastAsia="zh-CN"/>
        </w:rPr>
        <w:t>2</w:t>
      </w:r>
      <w:r>
        <w:rPr>
          <w:rFonts w:hint="default" w:ascii="方正仿宋_GBK" w:hAnsi="方正仿宋_GBK" w:eastAsia="方正仿宋_GBK" w:cs="方正仿宋_GBK"/>
          <w:b/>
          <w:bCs/>
          <w:i w:val="0"/>
          <w:iCs w:val="0"/>
          <w:color w:val="000000" w:themeColor="text1"/>
          <w:sz w:val="32"/>
          <w:szCs w:val="32"/>
          <w:lang w:val="en-US" w:eastAsia="zh-CN"/>
        </w:rPr>
        <w:t>月</w:t>
      </w:r>
      <w:r>
        <w:rPr>
          <w:rFonts w:hint="eastAsia" w:ascii="方正仿宋_GBK" w:hAnsi="方正仿宋_GBK" w:eastAsia="方正仿宋_GBK" w:cs="方正仿宋_GBK"/>
          <w:b/>
          <w:bCs/>
          <w:i w:val="0"/>
          <w:iCs w:val="0"/>
          <w:color w:val="000000" w:themeColor="text1"/>
          <w:sz w:val="32"/>
          <w:szCs w:val="32"/>
          <w:lang w:val="en-US" w:eastAsia="zh-CN"/>
        </w:rPr>
        <w:t>18</w:t>
      </w:r>
      <w:r>
        <w:rPr>
          <w:rFonts w:hint="default" w:ascii="方正仿宋_GBK" w:hAnsi="方正仿宋_GBK" w:eastAsia="方正仿宋_GBK" w:cs="方正仿宋_GBK"/>
          <w:b/>
          <w:bCs/>
          <w:i w:val="0"/>
          <w:iCs w:val="0"/>
          <w:color w:val="000000" w:themeColor="text1"/>
          <w:sz w:val="32"/>
          <w:szCs w:val="32"/>
          <w:lang w:val="en-US" w:eastAsia="zh-CN"/>
        </w:rPr>
        <w:t>日前完成</w:t>
      </w:r>
      <w:r>
        <w:rPr>
          <w:rFonts w:hint="eastAsia" w:ascii="方正仿宋_GBK" w:hAnsi="方正仿宋_GBK" w:eastAsia="方正仿宋_GBK" w:cs="方正仿宋_GBK"/>
          <w:b/>
          <w:bCs/>
          <w:i w:val="0"/>
          <w:iCs w:val="0"/>
          <w:color w:val="000000" w:themeColor="text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yellow"/>
        </w:rPr>
      </w:pPr>
      <w:r>
        <w:rPr>
          <w:rFonts w:ascii="Times New Roman" w:hAnsi="Times New Roman" w:eastAsia="仿宋_GB2312" w:cs="Times New Roman"/>
          <w:sz w:val="32"/>
          <w:szCs w:val="32"/>
        </w:rPr>
        <w:t>按时间要求开展</w:t>
      </w:r>
      <w:r>
        <w:rPr>
          <w:rFonts w:hint="eastAsia" w:ascii="Times New Roman" w:hAnsi="Times New Roman" w:eastAsia="仿宋_GB2312" w:cs="Times New Roman"/>
          <w:sz w:val="32"/>
          <w:szCs w:val="32"/>
          <w:lang w:eastAsia="zh-CN"/>
        </w:rPr>
        <w:t>电话访问</w:t>
      </w:r>
      <w:r>
        <w:rPr>
          <w:rFonts w:ascii="Times New Roman" w:hAnsi="Times New Roman" w:eastAsia="仿宋_GB2312" w:cs="Times New Roman"/>
          <w:sz w:val="32"/>
          <w:szCs w:val="32"/>
        </w:rPr>
        <w:t>测评工作，</w:t>
      </w:r>
      <w:r>
        <w:rPr>
          <w:rFonts w:hint="eastAsia" w:ascii="Times New Roman" w:hAnsi="Times New Roman" w:eastAsia="仿宋_GB2312" w:cs="Times New Roman"/>
          <w:sz w:val="32"/>
          <w:szCs w:val="32"/>
          <w:lang w:eastAsia="zh-CN"/>
        </w:rPr>
        <w:t>对代表集中问卷评价问卷数据录入汇总，</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eastAsia="zh-CN"/>
        </w:rPr>
        <w:t>统计局对电话访问数据和问卷录入数据进行质量验收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2" w:firstLineChars="200"/>
        <w:textAlignment w:val="auto"/>
        <w:rPr>
          <w:rFonts w:hint="default" w:ascii="方正仿宋_GBK" w:hAnsi="方正仿宋_GBK" w:eastAsia="方正仿宋_GBK" w:cs="方正仿宋_GBK"/>
          <w:b/>
          <w:bCs/>
          <w:i w:val="0"/>
          <w:iCs w:val="0"/>
          <w:color w:val="000000" w:themeColor="text1"/>
          <w:sz w:val="32"/>
          <w:szCs w:val="32"/>
          <w:lang w:val="en-US" w:eastAsia="zh-CN"/>
        </w:rPr>
      </w:pPr>
      <w:r>
        <w:rPr>
          <w:rFonts w:hint="eastAsia" w:ascii="方正仿宋_GBK" w:hAnsi="方正仿宋_GBK" w:eastAsia="方正仿宋_GBK" w:cs="方正仿宋_GBK"/>
          <w:b/>
          <w:bCs/>
          <w:i w:val="0"/>
          <w:iCs w:val="0"/>
          <w:color w:val="000000" w:themeColor="text1"/>
          <w:sz w:val="32"/>
          <w:szCs w:val="32"/>
          <w:lang w:val="en-US" w:eastAsia="zh-CN"/>
        </w:rPr>
        <w:t>6.</w:t>
      </w:r>
      <w:r>
        <w:rPr>
          <w:rFonts w:hint="default" w:ascii="方正仿宋_GBK" w:hAnsi="方正仿宋_GBK" w:eastAsia="方正仿宋_GBK" w:cs="方正仿宋_GBK"/>
          <w:b/>
          <w:bCs/>
          <w:i w:val="0"/>
          <w:iCs w:val="0"/>
          <w:color w:val="000000" w:themeColor="text1"/>
          <w:sz w:val="32"/>
          <w:szCs w:val="32"/>
          <w:lang w:val="en-US" w:eastAsia="zh-CN"/>
        </w:rPr>
        <w:t>计算得分</w:t>
      </w:r>
      <w:r>
        <w:rPr>
          <w:rFonts w:hint="eastAsia" w:ascii="方正仿宋_GBK" w:hAnsi="方正仿宋_GBK" w:eastAsia="方正仿宋_GBK" w:cs="方正仿宋_GBK"/>
          <w:b/>
          <w:bCs/>
          <w:i w:val="0"/>
          <w:iCs w:val="0"/>
          <w:color w:val="000000" w:themeColor="text1"/>
          <w:sz w:val="32"/>
          <w:szCs w:val="32"/>
          <w:lang w:val="en-US" w:eastAsia="zh-CN"/>
        </w:rPr>
        <w:t>（</w:t>
      </w:r>
      <w:r>
        <w:rPr>
          <w:rFonts w:hint="default" w:ascii="方正仿宋_GBK" w:hAnsi="方正仿宋_GBK" w:eastAsia="方正仿宋_GBK" w:cs="方正仿宋_GBK"/>
          <w:b/>
          <w:bCs/>
          <w:i w:val="0"/>
          <w:iCs w:val="0"/>
          <w:color w:val="000000" w:themeColor="text1"/>
          <w:sz w:val="32"/>
          <w:szCs w:val="32"/>
          <w:lang w:val="en-US" w:eastAsia="zh-CN"/>
        </w:rPr>
        <w:t>202</w:t>
      </w:r>
      <w:r>
        <w:rPr>
          <w:rFonts w:hint="eastAsia" w:ascii="方正仿宋_GBK" w:hAnsi="方正仿宋_GBK" w:eastAsia="方正仿宋_GBK" w:cs="方正仿宋_GBK"/>
          <w:b/>
          <w:bCs/>
          <w:i w:val="0"/>
          <w:iCs w:val="0"/>
          <w:color w:val="000000" w:themeColor="text1"/>
          <w:sz w:val="32"/>
          <w:szCs w:val="32"/>
          <w:lang w:val="en-US" w:eastAsia="zh-CN"/>
        </w:rPr>
        <w:t>5</w:t>
      </w:r>
      <w:r>
        <w:rPr>
          <w:rFonts w:hint="default" w:ascii="方正仿宋_GBK" w:hAnsi="方正仿宋_GBK" w:eastAsia="方正仿宋_GBK" w:cs="方正仿宋_GBK"/>
          <w:b/>
          <w:bCs/>
          <w:i w:val="0"/>
          <w:iCs w:val="0"/>
          <w:color w:val="000000" w:themeColor="text1"/>
          <w:sz w:val="32"/>
          <w:szCs w:val="32"/>
          <w:lang w:val="en-US" w:eastAsia="zh-CN"/>
        </w:rPr>
        <w:t>年</w:t>
      </w:r>
      <w:r>
        <w:rPr>
          <w:rFonts w:hint="eastAsia" w:ascii="方正仿宋_GBK" w:hAnsi="方正仿宋_GBK" w:eastAsia="方正仿宋_GBK" w:cs="方正仿宋_GBK"/>
          <w:b/>
          <w:bCs/>
          <w:i w:val="0"/>
          <w:iCs w:val="0"/>
          <w:color w:val="000000" w:themeColor="text1"/>
          <w:sz w:val="32"/>
          <w:szCs w:val="32"/>
          <w:lang w:val="en-US" w:eastAsia="zh-CN"/>
        </w:rPr>
        <w:t>2</w:t>
      </w:r>
      <w:r>
        <w:rPr>
          <w:rFonts w:hint="default" w:ascii="方正仿宋_GBK" w:hAnsi="方正仿宋_GBK" w:eastAsia="方正仿宋_GBK" w:cs="方正仿宋_GBK"/>
          <w:b/>
          <w:bCs/>
          <w:i w:val="0"/>
          <w:iCs w:val="0"/>
          <w:color w:val="000000" w:themeColor="text1"/>
          <w:sz w:val="32"/>
          <w:szCs w:val="32"/>
          <w:lang w:val="en-US" w:eastAsia="zh-CN"/>
        </w:rPr>
        <w:t>月</w:t>
      </w:r>
      <w:r>
        <w:rPr>
          <w:rFonts w:hint="eastAsia" w:ascii="方正仿宋_GBK" w:hAnsi="方正仿宋_GBK" w:eastAsia="方正仿宋_GBK" w:cs="方正仿宋_GBK"/>
          <w:b/>
          <w:bCs/>
          <w:i w:val="0"/>
          <w:iCs w:val="0"/>
          <w:color w:val="000000" w:themeColor="text1"/>
          <w:sz w:val="32"/>
          <w:szCs w:val="32"/>
          <w:lang w:val="en-US" w:eastAsia="zh-CN"/>
        </w:rPr>
        <w:t>20</w:t>
      </w:r>
      <w:r>
        <w:rPr>
          <w:rFonts w:hint="default" w:ascii="方正仿宋_GBK" w:hAnsi="方正仿宋_GBK" w:eastAsia="方正仿宋_GBK" w:cs="方正仿宋_GBK"/>
          <w:b/>
          <w:bCs/>
          <w:i w:val="0"/>
          <w:iCs w:val="0"/>
          <w:color w:val="000000" w:themeColor="text1"/>
          <w:sz w:val="32"/>
          <w:szCs w:val="32"/>
          <w:lang w:val="en-US" w:eastAsia="zh-CN"/>
        </w:rPr>
        <w:t>日前完成</w:t>
      </w:r>
      <w:r>
        <w:rPr>
          <w:rFonts w:hint="eastAsia" w:ascii="方正仿宋_GBK" w:hAnsi="方正仿宋_GBK" w:eastAsia="方正仿宋_GBK" w:cs="方正仿宋_GBK"/>
          <w:b/>
          <w:bCs/>
          <w:i w:val="0"/>
          <w:iCs w:val="0"/>
          <w:color w:val="000000" w:themeColor="text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区统计局根据</w:t>
      </w:r>
      <w:r>
        <w:rPr>
          <w:rFonts w:hint="eastAsia" w:ascii="Times New Roman" w:hAnsi="Times New Roman" w:eastAsia="仿宋_GB2312" w:cs="Times New Roman"/>
          <w:sz w:val="32"/>
          <w:szCs w:val="32"/>
          <w:lang w:val="en-US" w:eastAsia="zh-CN"/>
        </w:rPr>
        <w:t>代表集中问卷评价</w:t>
      </w:r>
      <w:r>
        <w:rPr>
          <w:rFonts w:hint="default"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val="en-US" w:eastAsia="zh-CN"/>
        </w:rPr>
        <w:t>随机电话访问评价</w:t>
      </w:r>
      <w:r>
        <w:rPr>
          <w:rFonts w:hint="default" w:ascii="Times New Roman" w:hAnsi="Times New Roman" w:eastAsia="仿宋_GB2312" w:cs="Times New Roman"/>
          <w:sz w:val="32"/>
          <w:szCs w:val="32"/>
          <w:lang w:val="en-US" w:eastAsia="zh-CN"/>
        </w:rPr>
        <w:t>得分情况进行集中汇总计算总分，得出各被评单位社会评价综合得分。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i w:val="0"/>
          <w:iCs w:val="0"/>
          <w:color w:val="000000" w:themeColor="text1"/>
          <w:sz w:val="32"/>
          <w:szCs w:val="32"/>
          <w:lang w:val="en-US" w:eastAsia="zh-CN"/>
        </w:rPr>
        <w:t>7.</w:t>
      </w:r>
      <w:r>
        <w:rPr>
          <w:rFonts w:hint="default" w:ascii="方正仿宋_GBK" w:hAnsi="方正仿宋_GBK" w:eastAsia="方正仿宋_GBK" w:cs="方正仿宋_GBK"/>
          <w:b/>
          <w:bCs/>
          <w:color w:val="000000"/>
          <w:sz w:val="32"/>
          <w:szCs w:val="32"/>
          <w:lang w:val="en-US" w:eastAsia="zh-CN"/>
        </w:rPr>
        <w:t>提交社会评价测评报告</w:t>
      </w:r>
      <w:r>
        <w:rPr>
          <w:rFonts w:hint="eastAsia" w:ascii="方正仿宋_GBK" w:hAnsi="方正仿宋_GBK" w:eastAsia="方正仿宋_GBK" w:cs="方正仿宋_GBK"/>
          <w:b/>
          <w:bCs/>
          <w:color w:val="000000"/>
          <w:sz w:val="32"/>
          <w:szCs w:val="32"/>
          <w:lang w:val="en-US" w:eastAsia="zh-CN"/>
        </w:rPr>
        <w:t>（</w:t>
      </w:r>
      <w:r>
        <w:rPr>
          <w:rFonts w:hint="default" w:ascii="方正仿宋_GBK" w:hAnsi="方正仿宋_GBK" w:eastAsia="方正仿宋_GBK" w:cs="方正仿宋_GBK"/>
          <w:b/>
          <w:bCs/>
          <w:color w:val="000000"/>
          <w:sz w:val="32"/>
          <w:szCs w:val="32"/>
          <w:lang w:val="en-US" w:eastAsia="zh-CN"/>
        </w:rPr>
        <w:t>202</w:t>
      </w:r>
      <w:r>
        <w:rPr>
          <w:rFonts w:hint="eastAsia" w:ascii="方正仿宋_GBK" w:hAnsi="方正仿宋_GBK" w:eastAsia="方正仿宋_GBK" w:cs="方正仿宋_GBK"/>
          <w:b/>
          <w:bCs/>
          <w:color w:val="000000"/>
          <w:sz w:val="32"/>
          <w:szCs w:val="32"/>
          <w:lang w:val="en-US" w:eastAsia="zh-CN"/>
        </w:rPr>
        <w:t>5</w:t>
      </w:r>
      <w:r>
        <w:rPr>
          <w:rFonts w:hint="default" w:ascii="方正仿宋_GBK" w:hAnsi="方正仿宋_GBK" w:eastAsia="方正仿宋_GBK" w:cs="方正仿宋_GBK"/>
          <w:b/>
          <w:bCs/>
          <w:color w:val="000000"/>
          <w:sz w:val="32"/>
          <w:szCs w:val="32"/>
          <w:lang w:val="en-US" w:eastAsia="zh-CN"/>
        </w:rPr>
        <w:t>年</w:t>
      </w:r>
      <w:r>
        <w:rPr>
          <w:rFonts w:hint="eastAsia" w:ascii="方正仿宋_GBK" w:hAnsi="方正仿宋_GBK" w:eastAsia="方正仿宋_GBK" w:cs="方正仿宋_GBK"/>
          <w:b/>
          <w:bCs/>
          <w:color w:val="000000"/>
          <w:sz w:val="32"/>
          <w:szCs w:val="32"/>
          <w:lang w:val="en-US" w:eastAsia="zh-CN"/>
        </w:rPr>
        <w:t>2</w:t>
      </w:r>
      <w:r>
        <w:rPr>
          <w:rFonts w:hint="default" w:ascii="方正仿宋_GBK" w:hAnsi="方正仿宋_GBK" w:eastAsia="方正仿宋_GBK" w:cs="方正仿宋_GBK"/>
          <w:b/>
          <w:bCs/>
          <w:color w:val="000000"/>
          <w:sz w:val="32"/>
          <w:szCs w:val="32"/>
          <w:lang w:val="en-US" w:eastAsia="zh-CN"/>
        </w:rPr>
        <w:t>月</w:t>
      </w:r>
      <w:r>
        <w:rPr>
          <w:rFonts w:hint="eastAsia" w:ascii="方正仿宋_GBK" w:hAnsi="方正仿宋_GBK" w:eastAsia="方正仿宋_GBK" w:cs="方正仿宋_GBK"/>
          <w:b/>
          <w:bCs/>
          <w:color w:val="000000"/>
          <w:sz w:val="32"/>
          <w:szCs w:val="32"/>
          <w:lang w:val="en-US" w:eastAsia="zh-CN"/>
        </w:rPr>
        <w:t>21</w:t>
      </w:r>
      <w:r>
        <w:rPr>
          <w:rFonts w:hint="default" w:ascii="方正仿宋_GBK" w:hAnsi="方正仿宋_GBK" w:eastAsia="方正仿宋_GBK" w:cs="方正仿宋_GBK"/>
          <w:b/>
          <w:bCs/>
          <w:color w:val="000000"/>
          <w:sz w:val="32"/>
          <w:szCs w:val="32"/>
          <w:lang w:val="en-US" w:eastAsia="zh-CN"/>
        </w:rPr>
        <w:t>日前完成</w:t>
      </w:r>
      <w:r>
        <w:rPr>
          <w:rFonts w:hint="eastAsia" w:ascii="方正仿宋_GBK" w:hAnsi="方正仿宋_GBK" w:eastAsia="方正仿宋_GBK" w:cs="方正仿宋_GBK"/>
          <w:b/>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区统计局根据社会评价得分结果进行分析，撰写测评报告报送区委督查考评办。</w:t>
      </w:r>
    </w:p>
    <w:p>
      <w:pPr>
        <w:pStyle w:val="4"/>
        <w:pageBreakBefore w:val="0"/>
        <w:widowControl w:val="0"/>
        <w:kinsoku/>
        <w:wordWrap/>
        <w:overflowPunct/>
        <w:topLinePunct w:val="0"/>
        <w:autoSpaceDE/>
        <w:autoSpaceDN/>
        <w:bidi w:val="0"/>
        <w:adjustRightInd/>
        <w:spacing w:beforeLines="0" w:afterLines="0" w:line="578" w:lineRule="exact"/>
        <w:ind w:firstLine="640"/>
        <w:textAlignment w:val="auto"/>
        <w:rPr>
          <w:rFonts w:hint="eastAsia" w:ascii="Arial" w:hAnsi="Arial"/>
          <w:b w:val="0"/>
          <w:lang w:val="en-US" w:eastAsia="zh-CN"/>
        </w:rPr>
      </w:pPr>
      <w:bookmarkStart w:id="62" w:name="_Toc1020159221_WPSOffice_Level2"/>
      <w:bookmarkStart w:id="63" w:name="_Toc1438825076"/>
      <w:bookmarkStart w:id="64" w:name="_Toc1510156685"/>
      <w:bookmarkStart w:id="65" w:name="_Toc31243"/>
      <w:bookmarkStart w:id="66" w:name="_Toc1027079723"/>
      <w:bookmarkStart w:id="67" w:name="_Toc276_WPSOffice_Level2"/>
      <w:r>
        <w:rPr>
          <w:rFonts w:hint="eastAsia" w:ascii="Arial" w:hAnsi="Arial"/>
          <w:b w:val="0"/>
          <w:lang w:val="en-US" w:eastAsia="zh-CN"/>
        </w:rPr>
        <w:t>（八）评价等级及计分方法</w:t>
      </w:r>
      <w:bookmarkEnd w:id="62"/>
      <w:bookmarkEnd w:id="63"/>
      <w:bookmarkEnd w:id="64"/>
      <w:bookmarkEnd w:id="65"/>
      <w:bookmarkEnd w:id="66"/>
      <w:bookmarkEnd w:id="67"/>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 w:eastAsia="仿宋_GB2312" w:cs="Times New Roman"/>
          <w:color w:val="auto"/>
          <w:sz w:val="32"/>
          <w:szCs w:val="32"/>
          <w:lang w:val="en-US" w:eastAsia="zh-CN"/>
        </w:rPr>
        <w:t>代表代表集中问卷评价</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rPr>
        <w:t>单题得分：</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总得分/总人数</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 w:eastAsia="仿宋_GB2312" w:cs="Times New Roman"/>
          <w:color w:val="auto"/>
          <w:sz w:val="32"/>
          <w:szCs w:val="32"/>
          <w:lang w:val="en-US" w:eastAsia="zh-CN"/>
        </w:rPr>
        <w:t>随机电话访问评价</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单题得分：</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总得分/总人数</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color w:val="auto"/>
        </w:rPr>
      </w:pPr>
      <w:r>
        <w:rPr>
          <w:rFonts w:hint="default" w:ascii="Times New Roman" w:hAnsi="Times New Roman" w:eastAsia="仿宋_GB2312" w:cs="Times New Roman"/>
          <w:color w:val="auto"/>
          <w:sz w:val="32"/>
          <w:szCs w:val="32"/>
          <w:lang w:val="en-US" w:eastAsia="zh-CN"/>
        </w:rPr>
        <w:t>3.</w:t>
      </w:r>
      <w:r>
        <w:rPr>
          <w:rFonts w:hint="eastAsia" w:ascii="仿宋_GB2312" w:hAnsi="仿宋" w:eastAsia="仿宋_GB2312"/>
          <w:color w:val="auto"/>
          <w:sz w:val="32"/>
          <w:szCs w:val="32"/>
        </w:rPr>
        <w:t>社会评价综合得分：</w:t>
      </w:r>
      <w:r>
        <w:rPr>
          <w:rFonts w:hint="eastAsia" w:ascii="仿宋_GB2312" w:hAnsi="仿宋" w:eastAsia="仿宋_GB2312"/>
          <w:color w:val="auto"/>
          <w:sz w:val="32"/>
          <w:szCs w:val="32"/>
          <w:lang w:eastAsia="zh-CN"/>
        </w:rPr>
        <w:t>代表代表集中问卷评价</w:t>
      </w:r>
      <w:r>
        <w:rPr>
          <w:rFonts w:hint="eastAsia" w:ascii="仿宋_GB2312" w:hAnsi="仿宋" w:eastAsia="仿宋_GB2312"/>
          <w:color w:val="auto"/>
          <w:sz w:val="32"/>
          <w:szCs w:val="32"/>
        </w:rPr>
        <w:t>得分×</w:t>
      </w:r>
      <w:r>
        <w:rPr>
          <w:rFonts w:hint="default" w:ascii="Times New Roman" w:hAnsi="Times New Roman" w:eastAsia="仿宋_GB2312" w:cs="Times New Roman"/>
          <w:color w:val="auto"/>
          <w:sz w:val="32"/>
          <w:szCs w:val="32"/>
        </w:rPr>
        <w:t>50%</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随机电话访问评价</w:t>
      </w:r>
      <w:r>
        <w:rPr>
          <w:rFonts w:hint="eastAsia" w:ascii="仿宋_GB2312" w:hAnsi="仿宋" w:eastAsia="仿宋_GB2312"/>
          <w:color w:val="auto"/>
          <w:sz w:val="32"/>
          <w:szCs w:val="32"/>
        </w:rPr>
        <w:t>得分×</w:t>
      </w:r>
      <w:r>
        <w:rPr>
          <w:rFonts w:hint="default" w:ascii="Times New Roman" w:hAnsi="Times New Roman" w:eastAsia="仿宋_GB2312" w:cs="Times New Roman"/>
          <w:color w:val="auto"/>
          <w:sz w:val="32"/>
          <w:szCs w:val="32"/>
        </w:rPr>
        <w:t>50%</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代表代表集中问卷评价</w:t>
      </w:r>
      <w:r>
        <w:rPr>
          <w:rFonts w:hint="eastAsia" w:ascii="仿宋_GB2312" w:hAnsi="仿宋" w:eastAsia="仿宋_GB2312"/>
          <w:color w:val="auto"/>
          <w:sz w:val="32"/>
          <w:szCs w:val="32"/>
        </w:rPr>
        <w:t>得分和</w:t>
      </w:r>
      <w:r>
        <w:rPr>
          <w:rFonts w:hint="eastAsia" w:ascii="仿宋_GB2312" w:hAnsi="仿宋" w:eastAsia="仿宋_GB2312"/>
          <w:color w:val="auto"/>
          <w:sz w:val="32"/>
          <w:szCs w:val="32"/>
          <w:lang w:eastAsia="zh-CN"/>
        </w:rPr>
        <w:t>随机电话访问评价</w:t>
      </w:r>
      <w:r>
        <w:rPr>
          <w:rFonts w:hint="eastAsia" w:ascii="仿宋_GB2312" w:hAnsi="仿宋" w:eastAsia="仿宋_GB2312"/>
          <w:color w:val="auto"/>
          <w:sz w:val="32"/>
          <w:szCs w:val="32"/>
        </w:rPr>
        <w:t>得分均为各单题得分乘以相应权重后的总得分。</w:t>
      </w:r>
    </w:p>
    <w:p>
      <w:pPr>
        <w:pStyle w:val="4"/>
        <w:pageBreakBefore w:val="0"/>
        <w:widowControl w:val="0"/>
        <w:kinsoku/>
        <w:wordWrap/>
        <w:overflowPunct/>
        <w:topLinePunct w:val="0"/>
        <w:autoSpaceDE/>
        <w:autoSpaceDN/>
        <w:bidi w:val="0"/>
        <w:adjustRightInd/>
        <w:spacing w:beforeLines="0" w:afterLines="0" w:line="578" w:lineRule="exact"/>
        <w:ind w:firstLine="640"/>
        <w:textAlignment w:val="auto"/>
        <w:rPr>
          <w:rFonts w:hint="eastAsia" w:ascii="Arial" w:hAnsi="Arial"/>
          <w:b w:val="0"/>
          <w:lang w:val="en-US" w:eastAsia="zh-CN"/>
        </w:rPr>
      </w:pPr>
      <w:bookmarkStart w:id="68" w:name="_Toc4546"/>
      <w:bookmarkStart w:id="69" w:name="_Toc6624_WPSOffice_Level2"/>
      <w:bookmarkStart w:id="70" w:name="_Toc665258227"/>
      <w:bookmarkStart w:id="71" w:name="_Toc1979732886_WPSOffice_Level2"/>
      <w:bookmarkStart w:id="72" w:name="_Toc391589078"/>
      <w:bookmarkStart w:id="73" w:name="_Toc1470107161"/>
      <w:r>
        <w:rPr>
          <w:rFonts w:hint="eastAsia" w:ascii="Arial" w:hAnsi="Arial"/>
          <w:b w:val="0"/>
          <w:lang w:val="en-US" w:eastAsia="zh-CN"/>
        </w:rPr>
        <w:t>（九）组织实施</w:t>
      </w:r>
      <w:bookmarkEnd w:id="68"/>
      <w:bookmarkEnd w:id="69"/>
      <w:bookmarkEnd w:id="70"/>
      <w:bookmarkEnd w:id="71"/>
      <w:bookmarkEnd w:id="72"/>
      <w:bookmarkEnd w:id="73"/>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本次评价工作由区统计局牵头组织</w:t>
      </w:r>
      <w:r>
        <w:rPr>
          <w:rFonts w:hint="eastAsia"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lang w:val="en-US" w:eastAsia="zh-CN"/>
        </w:rPr>
        <w:t>并负责具体工作</w:t>
      </w:r>
      <w:r>
        <w:rPr>
          <w:rFonts w:hint="eastAsia" w:ascii="Times New Roman" w:hAnsi="Times New Roman" w:eastAsia="仿宋_GB2312" w:cs="Times New Roman"/>
          <w:sz w:val="32"/>
          <w:szCs w:val="32"/>
          <w:lang w:val="en-US" w:eastAsia="zh-CN"/>
        </w:rPr>
        <w:t>安排</w:t>
      </w:r>
      <w:r>
        <w:rPr>
          <w:rFonts w:hint="default" w:ascii="Times New Roman" w:hAnsi="Times New Roman" w:eastAsia="仿宋_GB2312" w:cs="Times New Roman"/>
          <w:sz w:val="32"/>
          <w:szCs w:val="32"/>
          <w:lang w:val="en-US" w:eastAsia="zh-CN"/>
        </w:rPr>
        <w:t>。</w:t>
      </w:r>
    </w:p>
    <w:p>
      <w:pPr>
        <w:pStyle w:val="4"/>
        <w:pageBreakBefore w:val="0"/>
        <w:widowControl w:val="0"/>
        <w:kinsoku/>
        <w:wordWrap/>
        <w:overflowPunct/>
        <w:topLinePunct w:val="0"/>
        <w:autoSpaceDE/>
        <w:autoSpaceDN/>
        <w:bidi w:val="0"/>
        <w:adjustRightInd/>
        <w:spacing w:beforeLines="0" w:afterLines="0" w:line="578" w:lineRule="exact"/>
        <w:ind w:firstLine="640"/>
        <w:textAlignment w:val="auto"/>
        <w:rPr>
          <w:rFonts w:hint="eastAsia" w:ascii="Arial" w:hAnsi="Arial"/>
          <w:b w:val="0"/>
          <w:lang w:val="en-US" w:eastAsia="zh-CN"/>
        </w:rPr>
      </w:pPr>
      <w:bookmarkStart w:id="74" w:name="_Toc1865892675"/>
      <w:bookmarkStart w:id="75" w:name="_Toc1476465063"/>
      <w:bookmarkStart w:id="76" w:name="_Toc767725580"/>
      <w:bookmarkStart w:id="77" w:name="_Toc12424"/>
      <w:bookmarkStart w:id="78" w:name="_Toc1447575988_WPSOffice_Level2"/>
      <w:bookmarkStart w:id="79" w:name="_Toc13683_WPSOffice_Level2"/>
      <w:r>
        <w:rPr>
          <w:rFonts w:hint="eastAsia" w:ascii="Arial" w:hAnsi="Arial"/>
          <w:b w:val="0"/>
          <w:lang w:val="en-US" w:eastAsia="zh-CN"/>
        </w:rPr>
        <w:t>（十）质量控制</w:t>
      </w:r>
      <w:bookmarkEnd w:id="74"/>
      <w:bookmarkEnd w:id="75"/>
      <w:bookmarkEnd w:id="76"/>
      <w:bookmarkEnd w:id="77"/>
      <w:bookmarkEnd w:id="78"/>
      <w:bookmarkEnd w:id="79"/>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强化评价全过程监督管理。区统计局负责评价工作质量把关。正式开展测评期间，对测评全程进行监督管理，安排督导员每天负责监督检查，电话访问调查采取全程录音归档，做好数据质量审核验收。</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2.统一培训调查员。</w:t>
      </w:r>
      <w:r>
        <w:rPr>
          <w:rFonts w:hint="eastAsia" w:ascii="Times New Roman" w:hAnsi="Times New Roman" w:eastAsia="仿宋_GB2312" w:cs="Times New Roman"/>
          <w:color w:val="auto"/>
          <w:sz w:val="32"/>
          <w:szCs w:val="32"/>
        </w:rPr>
        <w:t>要求受委托方对调查访问员按照统一规范要求进行培训，</w:t>
      </w:r>
      <w:r>
        <w:rPr>
          <w:rFonts w:hint="eastAsia" w:ascii="Times New Roman" w:hAnsi="Times New Roman" w:eastAsia="仿宋_GB2312" w:cs="Times New Roman"/>
          <w:sz w:val="32"/>
          <w:szCs w:val="32"/>
          <w:lang w:val="en-US" w:eastAsia="zh-CN"/>
        </w:rPr>
        <w:t>严格遵守调查访问纪律，确保调查结果的代表性。代表集中问卷评价代表应围绕大局，进行客观公正，实事求是的评价。</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3.强化信息保密管理。代表集中问卷评价正式实施前，各有关单位应对参与代表集中问卷评价的代表信息做好保密管理，评价代表对评价样本分配及评价结果保密。</w:t>
      </w:r>
      <w:bookmarkStart w:id="80" w:name="_Toc24608_WPSOffice_Level1"/>
      <w:bookmarkStart w:id="81" w:name="_Toc11653_WPSOffice_Level1"/>
      <w:bookmarkStart w:id="82" w:name="_Toc13033"/>
    </w:p>
    <w:p>
      <w:pPr>
        <w:pStyle w:val="3"/>
        <w:pageBreakBefore w:val="0"/>
        <w:widowControl w:val="0"/>
        <w:kinsoku/>
        <w:wordWrap/>
        <w:overflowPunct/>
        <w:topLinePunct w:val="0"/>
        <w:autoSpaceDE/>
        <w:autoSpaceDN/>
        <w:bidi w:val="0"/>
        <w:adjustRightInd/>
        <w:spacing w:beforeLines="0" w:afterLines="0" w:line="578" w:lineRule="exact"/>
        <w:ind w:firstLine="640"/>
        <w:textAlignment w:val="auto"/>
        <w:rPr>
          <w:rFonts w:hint="eastAsia"/>
          <w:color w:val="auto"/>
          <w:lang w:val="en-US" w:eastAsia="zh-CN"/>
        </w:rPr>
      </w:pPr>
      <w:bookmarkStart w:id="83" w:name="_Toc2108907888_WPSOffice_Level1"/>
      <w:bookmarkStart w:id="84" w:name="_Toc1011987814"/>
      <w:bookmarkStart w:id="85" w:name="_Toc160879225"/>
      <w:r>
        <w:rPr>
          <w:rFonts w:hint="default" w:ascii="Times New Roman" w:hAnsi="Times New Roman" w:eastAsia="仿宋_GB2312" w:cs="Times New Roman"/>
          <w:bCs/>
          <w:color w:val="auto"/>
          <w:sz w:val="32"/>
          <w:szCs w:val="32"/>
          <w:lang w:val="en-US" w:eastAsia="zh-CN"/>
        </w:rPr>
        <w:t>4.</w:t>
      </w:r>
      <w:r>
        <w:rPr>
          <w:rFonts w:hint="default" w:ascii="Times New Roman" w:hAnsi="Times New Roman" w:eastAsia="仿宋_GB2312" w:cs="Times New Roman"/>
          <w:color w:val="auto"/>
          <w:sz w:val="32"/>
          <w:szCs w:val="32"/>
        </w:rPr>
        <w:t>严守数据保密规定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参与人员要严格遵守《</w:t>
      </w:r>
      <w:r>
        <w:rPr>
          <w:rFonts w:hint="default" w:ascii="Times New Roman" w:hAnsi="Times New Roman" w:eastAsia="仿宋_GB2312" w:cs="Times New Roman"/>
          <w:color w:val="auto"/>
          <w:sz w:val="32"/>
          <w:szCs w:val="32"/>
          <w:lang w:eastAsia="zh-CN"/>
        </w:rPr>
        <w:t>中华人民共和国</w:t>
      </w:r>
      <w:r>
        <w:rPr>
          <w:rFonts w:hint="default" w:ascii="Times New Roman" w:hAnsi="Times New Roman" w:eastAsia="仿宋_GB2312" w:cs="Times New Roman"/>
          <w:color w:val="auto"/>
          <w:sz w:val="32"/>
          <w:szCs w:val="32"/>
        </w:rPr>
        <w:t>统计法》相关规定，对本次</w:t>
      </w:r>
      <w:r>
        <w:rPr>
          <w:rFonts w:hint="eastAsia" w:ascii="Times New Roman" w:hAnsi="Times New Roman" w:eastAsia="仿宋_GB2312" w:cs="Times New Roman"/>
          <w:color w:val="auto"/>
          <w:sz w:val="32"/>
          <w:szCs w:val="32"/>
          <w:lang w:eastAsia="zh-CN"/>
        </w:rPr>
        <w:t>社会评价调查</w:t>
      </w:r>
      <w:r>
        <w:rPr>
          <w:rFonts w:hint="default" w:ascii="Times New Roman" w:hAnsi="Times New Roman" w:eastAsia="仿宋_GB2312" w:cs="Times New Roman"/>
          <w:color w:val="auto"/>
          <w:sz w:val="32"/>
          <w:szCs w:val="32"/>
        </w:rPr>
        <w:t>工作取得的原始数据、调查结论、调查资料等应当保密，未经允许，不得对外提供、泄露。</w:t>
      </w:r>
    </w:p>
    <w:p>
      <w:pPr>
        <w:pStyle w:val="3"/>
        <w:pageBreakBefore w:val="0"/>
        <w:widowControl w:val="0"/>
        <w:kinsoku/>
        <w:wordWrap/>
        <w:overflowPunct/>
        <w:topLinePunct w:val="0"/>
        <w:autoSpaceDE/>
        <w:autoSpaceDN/>
        <w:bidi w:val="0"/>
        <w:adjustRightInd/>
        <w:spacing w:beforeLines="0" w:afterLines="0" w:line="578" w:lineRule="exact"/>
        <w:ind w:firstLine="640"/>
        <w:textAlignment w:val="auto"/>
        <w:rPr>
          <w:rFonts w:hint="eastAsia"/>
          <w:lang w:val="en-US" w:eastAsia="zh-CN"/>
        </w:rPr>
      </w:pPr>
      <w:r>
        <w:rPr>
          <w:rFonts w:hint="eastAsia"/>
          <w:lang w:val="en-US" w:eastAsia="zh-CN"/>
        </w:rPr>
        <w:t>三、调查问卷</w:t>
      </w:r>
      <w:bookmarkEnd w:id="80"/>
      <w:bookmarkEnd w:id="81"/>
      <w:bookmarkEnd w:id="82"/>
      <w:bookmarkEnd w:id="83"/>
      <w:bookmarkEnd w:id="84"/>
      <w:bookmarkEnd w:id="85"/>
      <w:bookmarkStart w:id="86" w:name="_Toc23361_WPSOffice_Level1"/>
      <w:bookmarkStart w:id="87" w:name="_Toc12000_WPSOffice_Level1"/>
    </w:p>
    <w:p>
      <w:pPr>
        <w:pStyle w:val="3"/>
        <w:pageBreakBefore w:val="0"/>
        <w:widowControl w:val="0"/>
        <w:kinsoku/>
        <w:wordWrap/>
        <w:overflowPunct/>
        <w:topLinePunct w:val="0"/>
        <w:autoSpaceDE/>
        <w:autoSpaceDN/>
        <w:bidi w:val="0"/>
        <w:adjustRightInd/>
        <w:spacing w:beforeLines="0" w:afterLines="0" w:line="578" w:lineRule="exact"/>
        <w:ind w:firstLine="640"/>
        <w:textAlignment w:val="auto"/>
        <w:rPr>
          <w:rFonts w:hint="eastAsia"/>
          <w:lang w:eastAsia="zh-CN"/>
        </w:rPr>
        <w:sectPr>
          <w:pgSz w:w="11906" w:h="16838"/>
          <w:pgMar w:top="1418" w:right="1588" w:bottom="1418" w:left="1588"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00" w:lineRule="exact"/>
        <w:ind w:firstLine="800" w:firstLineChars="200"/>
        <w:textAlignment w:val="auto"/>
        <w:rPr>
          <w:rFonts w:hint="eastAsia" w:ascii="方正小标宋_GBK" w:hAnsi="方正小标宋_GBK" w:eastAsia="方正小标宋_GBK" w:cs="方正小标宋_GBK"/>
          <w:color w:val="auto"/>
          <w:sz w:val="40"/>
          <w:szCs w:val="40"/>
        </w:rPr>
      </w:pPr>
      <w:bookmarkStart w:id="88" w:name="_Toc805609242_WPSOffice_Level1"/>
      <w:r>
        <w:rPr>
          <w:rFonts w:hint="eastAsia" w:ascii="方正小标宋_GBK" w:hAnsi="方正小标宋_GBK" w:eastAsia="方正小标宋_GBK" w:cs="方正小标宋_GBK"/>
          <w:color w:val="auto"/>
          <w:sz w:val="40"/>
          <w:szCs w:val="40"/>
        </w:rPr>
        <w:t>202</w:t>
      </w:r>
      <w:r>
        <w:rPr>
          <w:rFonts w:hint="eastAsia" w:ascii="方正小标宋_GBK" w:hAnsi="方正小标宋_GBK" w:eastAsia="方正小标宋_GBK" w:cs="方正小标宋_GBK"/>
          <w:color w:val="auto"/>
          <w:sz w:val="40"/>
          <w:szCs w:val="40"/>
          <w:lang w:val="en-US" w:eastAsia="zh-CN"/>
        </w:rPr>
        <w:t>4</w:t>
      </w:r>
      <w:r>
        <w:rPr>
          <w:rFonts w:hint="eastAsia" w:ascii="方正小标宋_GBK" w:hAnsi="方正小标宋_GBK" w:eastAsia="方正小标宋_GBK" w:cs="方正小标宋_GBK"/>
          <w:color w:val="auto"/>
          <w:sz w:val="40"/>
          <w:szCs w:val="40"/>
        </w:rPr>
        <w:t>年度三亚市</w:t>
      </w:r>
      <w:r>
        <w:rPr>
          <w:rFonts w:hint="eastAsia" w:ascii="方正小标宋_GBK" w:hAnsi="方正小标宋_GBK" w:eastAsia="方正小标宋_GBK" w:cs="方正小标宋_GBK"/>
          <w:color w:val="auto"/>
          <w:sz w:val="40"/>
          <w:szCs w:val="40"/>
          <w:lang w:eastAsia="zh-CN"/>
        </w:rPr>
        <w:t>天涯区区</w:t>
      </w:r>
      <w:r>
        <w:rPr>
          <w:rFonts w:hint="eastAsia" w:ascii="方正小标宋_GBK" w:hAnsi="方正小标宋_GBK" w:eastAsia="方正小标宋_GBK" w:cs="方正小标宋_GBK"/>
          <w:color w:val="auto"/>
          <w:sz w:val="40"/>
          <w:szCs w:val="40"/>
        </w:rPr>
        <w:t>直机关综合考核</w:t>
      </w:r>
      <w:bookmarkEnd w:id="88"/>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color w:val="auto"/>
          <w:sz w:val="40"/>
          <w:szCs w:val="40"/>
          <w:lang w:eastAsia="zh-CN"/>
        </w:rPr>
      </w:pPr>
      <w:bookmarkStart w:id="89" w:name="_Toc59863968_WPSOffice_Level1"/>
      <w:r>
        <w:rPr>
          <w:rFonts w:hint="eastAsia" w:ascii="方正小标宋_GBK" w:hAnsi="方正小标宋_GBK" w:eastAsia="方正小标宋_GBK" w:cs="方正小标宋_GBK"/>
          <w:color w:val="auto"/>
          <w:sz w:val="40"/>
          <w:szCs w:val="40"/>
          <w:lang w:eastAsia="zh-CN"/>
        </w:rPr>
        <w:t>社会评价调查</w:t>
      </w:r>
      <w:r>
        <w:rPr>
          <w:rFonts w:hint="eastAsia" w:ascii="方正小标宋_GBK" w:hAnsi="方正小标宋_GBK" w:eastAsia="方正小标宋_GBK" w:cs="方正小标宋_GBK"/>
          <w:color w:val="auto"/>
          <w:sz w:val="40"/>
          <w:szCs w:val="40"/>
        </w:rPr>
        <w:t>问卷</w:t>
      </w:r>
      <w:bookmarkEnd w:id="89"/>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320" w:lineRule="exact"/>
        <w:ind w:right="112" w:rightChars="0"/>
        <w:jc w:val="both"/>
        <w:textAlignment w:val="auto"/>
        <w:rPr>
          <w:rFonts w:ascii="黑体" w:hAnsi="黑体" w:eastAsia="黑体" w:cs="黑体"/>
          <w:color w:val="auto"/>
          <w:sz w:val="18"/>
          <w:szCs w:val="18"/>
        </w:rPr>
      </w:pPr>
      <w:r>
        <w:rPr>
          <w:rFonts w:hint="eastAsia" w:ascii="黑体" w:hAnsi="黑体" w:eastAsia="黑体" w:cs="黑体"/>
          <w:color w:val="auto"/>
          <w:sz w:val="18"/>
          <w:szCs w:val="18"/>
          <w:lang w:val="en-US" w:eastAsia="zh-CN"/>
        </w:rPr>
        <w:t xml:space="preserve"> </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320" w:lineRule="exact"/>
        <w:ind w:right="420" w:firstLine="0" w:firstLineChars="0"/>
        <w:jc w:val="left"/>
        <w:textAlignment w:val="auto"/>
        <w:rPr>
          <w:rFonts w:hint="eastAsia" w:ascii="黑体" w:hAnsi="黑体" w:eastAsia="黑体" w:cs="黑体"/>
          <w:color w:val="auto"/>
          <w:sz w:val="21"/>
          <w:szCs w:val="21"/>
          <w:lang w:eastAsia="zh-CN"/>
        </w:rPr>
      </w:pPr>
      <w:r>
        <w:rPr>
          <w:rFonts w:hint="eastAsia" w:ascii="黑体" w:hAnsi="Calibri" w:eastAsia="黑体"/>
          <w:color w:val="auto"/>
          <w:sz w:val="18"/>
          <w:szCs w:val="18"/>
        </w:rPr>
        <w:t>　　　　　　　　　　　　　　　　　　　　　　</w:t>
      </w:r>
      <w:r>
        <w:rPr>
          <w:rFonts w:hint="eastAsia" w:ascii="黑体" w:hAnsi="Calibri" w:eastAsia="黑体"/>
          <w:color w:val="auto"/>
          <w:sz w:val="18"/>
          <w:szCs w:val="18"/>
          <w:lang w:val="en-US" w:eastAsia="zh-CN"/>
        </w:rPr>
        <w:t xml:space="preserve">        </w:t>
      </w:r>
      <w:r>
        <w:rPr>
          <w:rFonts w:hint="eastAsia" w:ascii="黑体" w:eastAsia="黑体"/>
          <w:color w:val="auto"/>
          <w:sz w:val="18"/>
          <w:szCs w:val="18"/>
          <w:lang w:val="en-US" w:eastAsia="zh-CN"/>
        </w:rPr>
        <w:t xml:space="preserve">          </w:t>
      </w:r>
      <w:r>
        <w:rPr>
          <w:rFonts w:hint="eastAsia" w:ascii="黑体" w:hAnsi="黑体" w:eastAsia="黑体" w:cs="黑体"/>
          <w:color w:val="auto"/>
          <w:sz w:val="21"/>
          <w:szCs w:val="21"/>
        </w:rPr>
        <w:t>制表机关</w:t>
      </w:r>
      <w:r>
        <w:rPr>
          <w:rFonts w:hint="eastAsia" w:ascii="黑体" w:hAnsi="黑体" w:eastAsia="黑体"/>
          <w:color w:val="auto"/>
          <w:sz w:val="21"/>
          <w:szCs w:val="21"/>
        </w:rPr>
        <w:t>：</w:t>
      </w:r>
      <w:r>
        <w:rPr>
          <w:rFonts w:hint="eastAsia" w:ascii="黑体" w:hAnsi="黑体" w:eastAsia="黑体"/>
          <w:color w:val="auto"/>
          <w:sz w:val="21"/>
          <w:szCs w:val="21"/>
          <w:lang w:eastAsia="zh-CN"/>
        </w:rPr>
        <w:t>三亚市天涯统计局</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320" w:lineRule="exact"/>
        <w:ind w:right="630" w:firstLine="0" w:firstLineChars="0"/>
        <w:jc w:val="left"/>
        <w:textAlignment w:val="auto"/>
        <w:rPr>
          <w:rFonts w:hint="eastAsia" w:ascii="黑体" w:hAnsi="黑体" w:eastAsia="黑体"/>
          <w:color w:val="auto"/>
          <w:sz w:val="21"/>
          <w:szCs w:val="21"/>
          <w:lang w:val="en-US" w:eastAsia="zh-CN"/>
        </w:rPr>
      </w:pPr>
      <w:r>
        <w:rPr>
          <w:rFonts w:hint="eastAsia" w:ascii="黑体" w:hAnsi="Calibri" w:eastAsia="黑体"/>
          <w:color w:val="auto"/>
          <w:sz w:val="21"/>
          <w:szCs w:val="21"/>
        </w:rPr>
        <w:t>　　　　　　　　　　　　　　　　　　　　　　</w:t>
      </w:r>
      <w:r>
        <w:rPr>
          <w:rFonts w:hint="eastAsia" w:ascii="黑体" w:hAnsi="Calibri" w:eastAsia="黑体"/>
          <w:color w:val="auto"/>
          <w:sz w:val="21"/>
          <w:szCs w:val="21"/>
          <w:lang w:val="en-US" w:eastAsia="zh-CN"/>
        </w:rPr>
        <w:t xml:space="preserve">    </w:t>
      </w:r>
      <w:r>
        <w:rPr>
          <w:rFonts w:hint="eastAsia" w:ascii="黑体" w:eastAsia="黑体"/>
          <w:color w:val="auto"/>
          <w:sz w:val="21"/>
          <w:szCs w:val="21"/>
          <w:lang w:val="en-US" w:eastAsia="zh-CN"/>
        </w:rPr>
        <w:t xml:space="preserve">     </w:t>
      </w:r>
      <w:r>
        <w:rPr>
          <w:rFonts w:hint="eastAsia" w:ascii="黑体" w:hAnsi="黑体" w:eastAsia="黑体" w:cs="黑体"/>
          <w:color w:val="auto"/>
          <w:sz w:val="21"/>
          <w:szCs w:val="21"/>
        </w:rPr>
        <w:t>批准</w:t>
      </w:r>
      <w:r>
        <w:rPr>
          <w:rFonts w:hint="eastAsia" w:ascii="黑体" w:hAnsi="黑体" w:eastAsia="黑体" w:cs="黑体"/>
          <w:color w:val="auto"/>
          <w:sz w:val="21"/>
          <w:szCs w:val="21"/>
          <w:lang w:eastAsia="zh-CN"/>
        </w:rPr>
        <w:t>机关</w:t>
      </w:r>
      <w:r>
        <w:rPr>
          <w:rFonts w:hint="eastAsia" w:ascii="黑体" w:hAnsi="黑体" w:eastAsia="黑体" w:cs="黑体"/>
          <w:color w:val="auto"/>
          <w:sz w:val="21"/>
          <w:szCs w:val="21"/>
        </w:rPr>
        <w:t>：</w:t>
      </w:r>
      <w:r>
        <w:rPr>
          <w:rFonts w:hint="eastAsia" w:ascii="黑体" w:hAnsi="黑体" w:eastAsia="黑体" w:cs="黑体"/>
          <w:color w:val="auto"/>
          <w:sz w:val="21"/>
          <w:szCs w:val="21"/>
          <w:lang w:eastAsia="zh-CN"/>
        </w:rPr>
        <w:t>三亚市统计局</w:t>
      </w:r>
      <w:r>
        <w:rPr>
          <w:rFonts w:hint="eastAsia" w:ascii="黑体" w:hAnsi="黑体" w:eastAsia="黑体"/>
          <w:color w:val="auto"/>
          <w:sz w:val="21"/>
          <w:szCs w:val="21"/>
          <w:lang w:val="en-US" w:eastAsia="zh-CN"/>
        </w:rPr>
        <w:t xml:space="preserve"> </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320" w:lineRule="exact"/>
        <w:ind w:right="112" w:rightChars="0" w:firstLine="1050" w:firstLineChars="500"/>
        <w:jc w:val="left"/>
        <w:textAlignment w:val="auto"/>
        <w:rPr>
          <w:rFonts w:ascii="黑体" w:hAnsi="黑体" w:eastAsia="黑体" w:cs="黑体"/>
          <w:color w:val="auto"/>
          <w:sz w:val="21"/>
          <w:szCs w:val="21"/>
        </w:rPr>
      </w:pPr>
      <w:r>
        <w:rPr>
          <w:rFonts w:hint="default" w:ascii="黑体" w:hAnsi="黑体" w:eastAsia="黑体"/>
          <w:color w:val="auto"/>
          <w:sz w:val="21"/>
          <w:szCs w:val="21"/>
          <w:lang w:eastAsia="zh-CN"/>
        </w:rPr>
        <w:t xml:space="preserve">                                           </w:t>
      </w:r>
      <w:r>
        <w:rPr>
          <w:rFonts w:hint="eastAsia" w:ascii="黑体" w:hAnsi="黑体" w:eastAsia="黑体" w:cs="黑体"/>
          <w:color w:val="auto"/>
          <w:sz w:val="21"/>
          <w:szCs w:val="21"/>
          <w:lang w:eastAsia="zh-CN"/>
        </w:rPr>
        <w:t>批准文</w:t>
      </w:r>
      <w:r>
        <w:rPr>
          <w:rFonts w:hint="eastAsia" w:ascii="黑体" w:hAnsi="黑体" w:eastAsia="黑体" w:cs="黑体"/>
          <w:color w:val="auto"/>
          <w:sz w:val="21"/>
          <w:szCs w:val="21"/>
        </w:rPr>
        <w:t>号</w:t>
      </w:r>
      <w:r>
        <w:rPr>
          <w:rFonts w:hint="eastAsia" w:ascii="黑体" w:hAnsi="黑体" w:eastAsia="黑体" w:cs="黑体"/>
          <w:color w:val="auto"/>
          <w:sz w:val="21"/>
          <w:szCs w:val="21"/>
          <w:lang w:eastAsia="zh-CN"/>
        </w:rPr>
        <w:t>：</w:t>
      </w:r>
      <w:r>
        <w:rPr>
          <w:rFonts w:hint="eastAsia" w:ascii="黑体" w:hAnsi="黑体" w:eastAsia="黑体" w:cs="黑体"/>
          <w:color w:val="auto"/>
          <w:sz w:val="21"/>
          <w:szCs w:val="21"/>
          <w:lang w:val="en-US" w:eastAsia="zh-CN"/>
        </w:rPr>
        <w:t>三</w:t>
      </w:r>
      <w:r>
        <w:rPr>
          <w:rFonts w:hint="eastAsia" w:ascii="黑体" w:hAnsi="黑体" w:eastAsia="黑体" w:cs="黑体"/>
          <w:color w:val="auto"/>
          <w:sz w:val="21"/>
          <w:szCs w:val="21"/>
          <w:lang w:eastAsia="zh-CN"/>
        </w:rPr>
        <w:t>统函〔</w:t>
      </w:r>
      <w:r>
        <w:rPr>
          <w:rFonts w:hint="default" w:ascii="Times New Roman" w:hAnsi="Times New Roman" w:eastAsia="黑体" w:cs="Times New Roman"/>
          <w:color w:val="auto"/>
          <w:sz w:val="21"/>
          <w:szCs w:val="21"/>
          <w:lang w:eastAsia="zh-CN"/>
        </w:rPr>
        <w:t>202</w:t>
      </w:r>
      <w:r>
        <w:rPr>
          <w:rFonts w:hint="eastAsia" w:ascii="Times New Roman" w:hAnsi="Times New Roman" w:eastAsia="黑体" w:cs="Times New Roman"/>
          <w:color w:val="auto"/>
          <w:sz w:val="21"/>
          <w:szCs w:val="21"/>
          <w:lang w:val="en-US" w:eastAsia="zh-CN"/>
        </w:rPr>
        <w:t>5</w:t>
      </w:r>
      <w:r>
        <w:rPr>
          <w:rFonts w:hint="eastAsia" w:ascii="黑体" w:hAnsi="黑体" w:eastAsia="黑体" w:cs="黑体"/>
          <w:color w:val="auto"/>
          <w:sz w:val="21"/>
          <w:szCs w:val="21"/>
          <w:lang w:eastAsia="zh-CN"/>
        </w:rPr>
        <w:t>〕</w:t>
      </w:r>
      <w:r>
        <w:rPr>
          <w:rFonts w:hint="eastAsia" w:ascii="黑体" w:hAnsi="黑体" w:eastAsia="黑体" w:cs="黑体"/>
          <w:color w:val="auto"/>
          <w:sz w:val="21"/>
          <w:szCs w:val="21"/>
          <w:lang w:val="en-US" w:eastAsia="zh-CN"/>
        </w:rPr>
        <w:t>11</w:t>
      </w:r>
      <w:r>
        <w:rPr>
          <w:rFonts w:hint="eastAsia" w:ascii="黑体" w:hAnsi="黑体" w:eastAsia="黑体" w:cs="黑体"/>
          <w:color w:val="auto"/>
          <w:sz w:val="21"/>
          <w:szCs w:val="21"/>
          <w:lang w:eastAsia="zh-CN"/>
        </w:rPr>
        <w:t>号</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320" w:lineRule="exact"/>
        <w:ind w:right="332" w:rightChars="0"/>
        <w:jc w:val="left"/>
        <w:textAlignment w:val="auto"/>
        <w:rPr>
          <w:rFonts w:ascii="黑体" w:hAnsi="黑体" w:eastAsia="黑体" w:cs="黑体"/>
          <w:color w:val="auto"/>
          <w:sz w:val="21"/>
          <w:szCs w:val="21"/>
        </w:rPr>
      </w:pPr>
      <w:r>
        <w:rPr>
          <w:rFonts w:hint="eastAsia" w:ascii="黑体" w:hAnsi="Calibri" w:eastAsia="黑体"/>
          <w:color w:val="auto"/>
          <w:sz w:val="21"/>
          <w:szCs w:val="21"/>
        </w:rPr>
        <w:t>　　　　　　　　　　　　　　　　　</w:t>
      </w:r>
      <w:r>
        <w:rPr>
          <w:rFonts w:hint="eastAsia" w:ascii="黑体" w:hAnsi="Calibri" w:eastAsia="黑体"/>
          <w:color w:val="auto"/>
          <w:sz w:val="21"/>
          <w:szCs w:val="21"/>
          <w:lang w:val="en-US" w:eastAsia="zh-CN"/>
        </w:rPr>
        <w:t xml:space="preserve">                 </w:t>
      </w:r>
      <w:r>
        <w:rPr>
          <w:rFonts w:hint="eastAsia" w:ascii="黑体" w:eastAsia="黑体"/>
          <w:color w:val="auto"/>
          <w:sz w:val="21"/>
          <w:szCs w:val="21"/>
          <w:lang w:val="en-US" w:eastAsia="zh-CN"/>
        </w:rPr>
        <w:t xml:space="preserve">  </w:t>
      </w:r>
      <w:r>
        <w:rPr>
          <w:rFonts w:hint="eastAsia" w:ascii="黑体" w:hAnsi="黑体" w:eastAsia="黑体" w:cs="黑体"/>
          <w:color w:val="auto"/>
          <w:sz w:val="21"/>
          <w:szCs w:val="21"/>
        </w:rPr>
        <w:t>有效期</w:t>
      </w:r>
      <w:r>
        <w:rPr>
          <w:rFonts w:ascii="黑体" w:hAnsi="黑体" w:eastAsia="黑体" w:cs="黑体"/>
          <w:color w:val="auto"/>
          <w:sz w:val="21"/>
          <w:szCs w:val="21"/>
        </w:rPr>
        <w:t>止</w:t>
      </w:r>
      <w:r>
        <w:rPr>
          <w:rFonts w:hint="eastAsia" w:ascii="黑体" w:hAnsi="黑体" w:eastAsia="黑体" w:cs="黑体"/>
          <w:color w:val="auto"/>
          <w:sz w:val="21"/>
          <w:szCs w:val="21"/>
          <w:lang w:eastAsia="zh-CN"/>
        </w:rPr>
        <w:t>：</w:t>
      </w:r>
      <w:r>
        <w:rPr>
          <w:rFonts w:hint="default" w:ascii="Times New Roman" w:hAnsi="Times New Roman" w:eastAsia="黑体" w:cs="Times New Roman"/>
          <w:color w:val="auto"/>
          <w:sz w:val="21"/>
          <w:szCs w:val="21"/>
        </w:rPr>
        <w:t>20</w:t>
      </w:r>
      <w:r>
        <w:rPr>
          <w:rFonts w:hint="default" w:ascii="Times New Roman" w:hAnsi="Times New Roman" w:eastAsia="黑体" w:cs="Times New Roman"/>
          <w:color w:val="auto"/>
          <w:sz w:val="21"/>
          <w:szCs w:val="21"/>
          <w:lang w:val="en-US" w:eastAsia="zh-CN"/>
        </w:rPr>
        <w:t>25</w:t>
      </w:r>
      <w:r>
        <w:rPr>
          <w:rFonts w:hint="eastAsia" w:ascii="黑体" w:hAnsi="黑体" w:eastAsia="黑体"/>
          <w:color w:val="auto"/>
          <w:sz w:val="21"/>
          <w:szCs w:val="21"/>
        </w:rPr>
        <w:t>年</w:t>
      </w:r>
      <w:r>
        <w:rPr>
          <w:rFonts w:hint="eastAsia" w:ascii="Times New Roman" w:hAnsi="Times New Roman" w:eastAsia="黑体" w:cs="Times New Roman"/>
          <w:color w:val="auto"/>
          <w:sz w:val="21"/>
          <w:szCs w:val="21"/>
          <w:lang w:val="en-US" w:eastAsia="zh-CN"/>
        </w:rPr>
        <w:t>2</w:t>
      </w:r>
      <w:r>
        <w:rPr>
          <w:rFonts w:hint="eastAsia" w:ascii="Times New Roman" w:hAnsi="Times New Roman" w:eastAsia="黑体" w:cs="Times New Roman"/>
          <w:color w:val="auto"/>
          <w:sz w:val="21"/>
          <w:szCs w:val="21"/>
          <w:lang w:eastAsia="zh-CN"/>
        </w:rPr>
        <w:t>月</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20" w:lineRule="exact"/>
        <w:ind w:right="23" w:rightChars="0" w:firstLine="560" w:firstLineChars="200"/>
        <w:jc w:val="left"/>
        <w:textAlignment w:val="auto"/>
        <w:rPr>
          <w:rFonts w:hint="eastAsia" w:asciiTheme="majorEastAsia" w:hAnsiTheme="majorEastAsia" w:eastAsiaTheme="majorEastAsia" w:cstheme="majorEastAsia"/>
          <w:color w:val="auto"/>
          <w:sz w:val="28"/>
          <w:szCs w:val="28"/>
        </w:rPr>
      </w:pPr>
    </w:p>
    <w:p>
      <w:pPr>
        <w:keepNext w:val="0"/>
        <w:keepLines w:val="0"/>
        <w:pageBreakBefore w:val="0"/>
        <w:widowControl/>
        <w:suppressLineNumbers w:val="0"/>
        <w:kinsoku w:val="0"/>
        <w:wordWrap/>
        <w:overflowPunct/>
        <w:topLinePunct/>
        <w:autoSpaceDE w:val="0"/>
        <w:autoSpaceDN w:val="0"/>
        <w:bidi w:val="0"/>
        <w:adjustRightInd w:val="0"/>
        <w:snapToGrid w:val="0"/>
        <w:spacing w:before="0" w:beforeAutospacing="0" w:after="0" w:afterAutospacing="0" w:line="460" w:lineRule="exact"/>
        <w:ind w:left="0" w:right="0"/>
        <w:jc w:val="both"/>
        <w:textAlignment w:val="baseline"/>
        <w:rPr>
          <w:rFonts w:hint="eastAsia" w:ascii="仿宋" w:hAnsi="仿宋" w:eastAsia="仿宋" w:cs="仿宋"/>
          <w:b w:val="0"/>
          <w:bCs/>
          <w:color w:val="auto"/>
          <w:kern w:val="2"/>
          <w:sz w:val="24"/>
          <w:szCs w:val="24"/>
          <w:vertAlign w:val="baseline"/>
        </w:rPr>
      </w:pPr>
      <w:r>
        <w:rPr>
          <w:rFonts w:hint="eastAsia" w:ascii="仿宋" w:hAnsi="仿宋" w:eastAsia="仿宋" w:cs="仿宋"/>
          <w:b w:val="0"/>
          <w:bCs/>
          <w:color w:val="auto"/>
          <w:kern w:val="2"/>
          <w:sz w:val="24"/>
          <w:szCs w:val="24"/>
          <w:vertAlign w:val="baseline"/>
          <w:lang w:val="en-US" w:eastAsia="zh-CN" w:bidi="ar"/>
        </w:rPr>
        <w:t>您好！</w:t>
      </w:r>
    </w:p>
    <w:p>
      <w:pPr>
        <w:keepNext w:val="0"/>
        <w:keepLines w:val="0"/>
        <w:pageBreakBefore w:val="0"/>
        <w:widowControl/>
        <w:suppressLineNumbers w:val="0"/>
        <w:wordWrap/>
        <w:overflowPunct/>
        <w:topLinePunct/>
        <w:autoSpaceDE w:val="0"/>
        <w:autoSpaceDN w:val="0"/>
        <w:bidi w:val="0"/>
        <w:adjustRightInd w:val="0"/>
        <w:snapToGrid w:val="0"/>
        <w:spacing w:before="0" w:beforeAutospacing="0" w:after="0" w:afterAutospacing="0" w:line="460" w:lineRule="exact"/>
        <w:ind w:left="0" w:right="0" w:firstLine="480" w:firstLineChars="200"/>
        <w:jc w:val="both"/>
        <w:textAlignment w:val="baseline"/>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vertAlign w:val="baseline"/>
          <w:lang w:val="en-US" w:eastAsia="zh-CN" w:bidi="ar"/>
        </w:rPr>
        <w:t>为做好2024年度三亚市天涯区区直机关综合考核社会评价工作，三亚市天涯区统计局目前正在开展代表代表集中问卷评价。根据《中华人民共和国统计法》，我们将对您填写的问卷信息严格保密，请您放心作答。敬请您对被评议机关提出客观、公正的评议意见，谢谢您的支持与合作！</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20" w:lineRule="exact"/>
        <w:ind w:right="23" w:rightChars="0"/>
        <w:jc w:val="left"/>
        <w:textAlignment w:val="auto"/>
        <w:rPr>
          <w:rFonts w:hint="eastAsia"/>
          <w:color w:val="auto"/>
        </w:rPr>
      </w:pPr>
      <w:r>
        <w:rPr>
          <w:color w:val="auto"/>
          <w:sz w:val="21"/>
        </w:rPr>
        <w:pict>
          <v:line id="_x0000_s2071" o:spid="_x0000_s2071" o:spt="20" style="position:absolute;left:0pt;flip:y;margin-left:-0.25pt;margin-top:8.5pt;height:0.65pt;width:437.05pt;z-index:251673600;mso-width-relative:page;mso-height-relative:page;" fillcolor="#FFFFFF" filled="t" stroked="t" coordsize="21600,21600">
            <v:path arrowok="t"/>
            <v:fill type="gradient" on="t" color2="#FFFFFF" angle="90" focus="0%" focussize="0f,0f" focusposition="0f,0f">
              <o:fill type="gradientUnscaled" v:ext="backwardCompatible"/>
            </v:fill>
            <v:stroke weight="0.5pt" color="#000000"/>
            <v:imagedata o:title=""/>
            <o:lock v:ext="edit" aspectratio="f"/>
          </v:line>
        </w:pict>
      </w:r>
    </w:p>
    <w:p>
      <w:pPr>
        <w:keepNext w:val="0"/>
        <w:keepLines w:val="0"/>
        <w:pageBreakBefore w:val="0"/>
        <w:widowControl/>
        <w:kinsoku w:val="0"/>
        <w:wordWrap/>
        <w:overflowPunct/>
        <w:topLinePunct w:val="0"/>
        <w:autoSpaceDE w:val="0"/>
        <w:autoSpaceDN w:val="0"/>
        <w:bidi w:val="0"/>
        <w:adjustRightInd w:val="0"/>
        <w:snapToGrid w:val="0"/>
        <w:spacing w:after="0" w:line="400" w:lineRule="exact"/>
        <w:jc w:val="both"/>
        <w:textAlignment w:val="baseline"/>
        <w:outlineLvl w:val="9"/>
        <w:rPr>
          <w:rFonts w:hint="eastAsia"/>
          <w:color w:val="auto"/>
          <w:lang w:eastAsia="zh-CN"/>
        </w:rPr>
      </w:pPr>
      <w:r>
        <w:rPr>
          <w:rFonts w:hint="eastAsia" w:ascii="宋体" w:hAnsi="宋体" w:eastAsia="宋体" w:cs="宋体"/>
          <w:b w:val="0"/>
          <w:bCs w:val="0"/>
          <w:color w:val="auto"/>
          <w:sz w:val="24"/>
          <w:szCs w:val="24"/>
          <w:highlight w:val="none"/>
        </w:rPr>
        <w:t>被评单位：</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p>
    <w:tbl>
      <w:tblPr>
        <w:tblStyle w:val="13"/>
        <w:tblW w:w="9650" w:type="dxa"/>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3"/>
        <w:gridCol w:w="2967"/>
        <w:gridCol w:w="633"/>
        <w:gridCol w:w="484"/>
        <w:gridCol w:w="516"/>
        <w:gridCol w:w="450"/>
        <w:gridCol w:w="500"/>
        <w:gridCol w:w="484"/>
        <w:gridCol w:w="533"/>
        <w:gridCol w:w="533"/>
        <w:gridCol w:w="567"/>
        <w:gridCol w:w="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trPr>
        <w:tc>
          <w:tcPr>
            <w:tcW w:w="9650" w:type="dxa"/>
            <w:gridSpan w:val="12"/>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eastAsia="zh-CN"/>
              </w:rPr>
              <w:t>说明：</w:t>
            </w:r>
            <w:r>
              <w:rPr>
                <w:rFonts w:hint="eastAsia" w:ascii="Times New Roman" w:hAnsi="Times New Roman" w:cs="Times New Roman"/>
                <w:b w:val="0"/>
                <w:bCs w:val="0"/>
                <w:color w:val="auto"/>
                <w:sz w:val="21"/>
                <w:szCs w:val="21"/>
                <w:highlight w:val="none"/>
                <w:lang w:val="en-US" w:eastAsia="zh-CN"/>
              </w:rPr>
              <w:t>1.请各位评价代表根据被评单位的真实情况进行评价，</w:t>
            </w:r>
            <w:r>
              <w:rPr>
                <w:rFonts w:hint="eastAsia" w:ascii="黑体" w:hAnsi="黑体" w:eastAsia="黑体" w:cs="黑体"/>
                <w:color w:val="auto"/>
                <w:sz w:val="21"/>
                <w:szCs w:val="21"/>
              </w:rPr>
              <w:t>请按由低到高1</w:t>
            </w:r>
            <w:r>
              <w:rPr>
                <w:rFonts w:ascii="黑体" w:hAnsi="黑体" w:eastAsia="黑体" w:cs="黑体"/>
                <w:color w:val="auto"/>
                <w:sz w:val="21"/>
                <w:szCs w:val="21"/>
              </w:rPr>
              <w:t>-10</w:t>
            </w:r>
            <w:r>
              <w:rPr>
                <w:rFonts w:hint="eastAsia" w:ascii="黑体" w:hAnsi="黑体" w:eastAsia="黑体" w:cs="黑体"/>
                <w:color w:val="auto"/>
                <w:sz w:val="21"/>
                <w:szCs w:val="21"/>
              </w:rPr>
              <w:t>分</w:t>
            </w:r>
            <w:r>
              <w:rPr>
                <w:rFonts w:ascii="黑体" w:hAnsi="黑体" w:eastAsia="黑体" w:cs="黑体"/>
                <w:color w:val="auto"/>
                <w:sz w:val="21"/>
                <w:szCs w:val="21"/>
              </w:rPr>
              <w:t>给分</w:t>
            </w:r>
            <w:r>
              <w:rPr>
                <w:rFonts w:hint="eastAsia" w:ascii="Times New Roman" w:hAnsi="Times New Roman" w:cs="Times New Roman"/>
                <w:b w:val="0"/>
                <w:bCs w:val="0"/>
                <w:color w:val="auto"/>
                <w:sz w:val="21"/>
                <w:szCs w:val="21"/>
                <w:highlight w:val="none"/>
                <w:lang w:val="en-US" w:eastAsia="zh-CN"/>
              </w:rPr>
              <w:t>。 2.请在符合您选择的评价等级选项框中填写“√”。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4400" w:type="dxa"/>
            <w:gridSpan w:val="2"/>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评价内容</w:t>
            </w:r>
          </w:p>
        </w:tc>
        <w:tc>
          <w:tcPr>
            <w:tcW w:w="5250" w:type="dxa"/>
            <w:gridSpan w:val="1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highlight w:val="yellow"/>
                <w:lang w:eastAsia="zh-CN"/>
              </w:rPr>
            </w:pPr>
            <w:r>
              <w:rPr>
                <w:rFonts w:hint="eastAsia" w:ascii="Times New Roman" w:hAnsi="Times New Roman" w:cs="Times New Roman"/>
                <w:b/>
                <w:bCs/>
                <w:color w:val="auto"/>
                <w:sz w:val="21"/>
                <w:szCs w:val="21"/>
                <w:highlight w:val="none"/>
                <w:lang w:eastAsia="zh-CN"/>
              </w:rPr>
              <w:t>评价等级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4400" w:type="dxa"/>
            <w:gridSpan w:val="2"/>
            <w:vMerge w:val="continue"/>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hint="eastAsia" w:asciiTheme="minorEastAsia" w:hAnsiTheme="minorEastAsia" w:eastAsiaTheme="minorEastAsia" w:cstheme="minorEastAsia"/>
                <w:color w:val="auto"/>
                <w:kern w:val="2"/>
                <w:sz w:val="21"/>
                <w:szCs w:val="21"/>
                <w:lang w:val="en-US" w:eastAsia="zh-CN" w:bidi="ar"/>
              </w:rPr>
            </w:pP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10</w:t>
            </w: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9</w:t>
            </w: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8</w:t>
            </w: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7</w:t>
            </w: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6</w:t>
            </w: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5</w:t>
            </w: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4</w:t>
            </w: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3</w:t>
            </w: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w:t>
            </w: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7"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center"/>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1.</w:t>
            </w:r>
            <w:r>
              <w:rPr>
                <w:rFonts w:ascii="Times New Roman" w:hAnsi="Times New Roman" w:cs="Times New Roman"/>
                <w:b/>
                <w:bCs/>
                <w:color w:val="auto"/>
                <w:sz w:val="21"/>
                <w:szCs w:val="21"/>
              </w:rPr>
              <w:t>作风建设</w:t>
            </w:r>
          </w:p>
          <w:p>
            <w:pPr>
              <w:keepNext w:val="0"/>
              <w:keepLines w:val="0"/>
              <w:pageBreakBefore w:val="0"/>
              <w:widowControl w:val="0"/>
              <w:numPr>
                <w:ilvl w:val="0"/>
                <w:numId w:val="0"/>
              </w:numPr>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（权重2</w:t>
            </w:r>
            <w:r>
              <w:rPr>
                <w:rFonts w:hint="eastAsia" w:ascii="Times New Roman" w:hAnsi="Times New Roman" w:cs="Times New Roman"/>
                <w:b/>
                <w:bCs/>
                <w:color w:val="auto"/>
                <w:sz w:val="21"/>
                <w:szCs w:val="21"/>
                <w:lang w:val="en-US" w:eastAsia="zh-CN"/>
              </w:rPr>
              <w:t>0</w:t>
            </w:r>
            <w:r>
              <w:rPr>
                <w:rFonts w:hint="eastAsia" w:ascii="Times New Roman" w:hAnsi="Times New Roman" w:cs="Times New Roman"/>
                <w:b/>
                <w:bCs/>
                <w:color w:val="auto"/>
                <w:sz w:val="21"/>
                <w:szCs w:val="21"/>
                <w:lang w:eastAsia="zh-CN"/>
              </w:rPr>
              <w:t>%）</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ascii="Times New Roman" w:hAnsi="Times New Roman" w:cs="Times New Roman"/>
                <w:color w:val="auto"/>
                <w:sz w:val="21"/>
                <w:szCs w:val="21"/>
              </w:rPr>
            </w:pPr>
            <w:r>
              <w:rPr>
                <w:rFonts w:hint="eastAsia" w:ascii="仿宋_GB2312" w:hAnsi="仿宋_GB2312" w:eastAsia="仿宋_GB2312" w:cs="仿宋_GB2312"/>
                <w:color w:val="auto"/>
                <w:szCs w:val="21"/>
                <w:lang w:val="en-US" w:eastAsia="zh-CN"/>
              </w:rPr>
              <w:t>重点围绕全面提升行政效能的作风表现进行评价，包括“四风”建设中是否存在思想不解放因循守旧、执行力落实力不强、“不干事、不担事、事难办”、文山会海向基层蔓延、检查考核过多过频、指尖上的形式主义、吃拿卡要拖、漠视群众利益和诉求等作风突出问题。</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33" w:type="dxa"/>
            <w:vAlign w:val="center"/>
          </w:tcPr>
          <w:p>
            <w:pPr>
              <w:keepNext w:val="0"/>
              <w:keepLines w:val="0"/>
              <w:widowControl w:val="0"/>
              <w:numPr>
                <w:ilvl w:val="0"/>
                <w:numId w:val="0"/>
              </w:numPr>
              <w:suppressLineNumbers w:val="0"/>
              <w:spacing w:before="0" w:beforeAutospacing="0" w:after="0" w:afterAutospacing="0"/>
              <w:ind w:leftChars="0" w:right="0" w:rightChars="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2.</w:t>
            </w:r>
            <w:r>
              <w:rPr>
                <w:rFonts w:ascii="Times New Roman" w:hAnsi="Times New Roman" w:cs="Times New Roman"/>
                <w:b/>
                <w:bCs/>
                <w:color w:val="auto"/>
                <w:sz w:val="21"/>
                <w:szCs w:val="21"/>
              </w:rPr>
              <w:t>履职尽责</w:t>
            </w:r>
          </w:p>
          <w:p>
            <w:pPr>
              <w:keepNext w:val="0"/>
              <w:keepLines w:val="0"/>
              <w:widowControl w:val="0"/>
              <w:numPr>
                <w:ilvl w:val="0"/>
                <w:numId w:val="0"/>
              </w:numPr>
              <w:suppressLineNumbers w:val="0"/>
              <w:spacing w:before="0" w:beforeAutospacing="0" w:after="0" w:afterAutospacing="0"/>
              <w:ind w:leftChars="0" w:right="0" w:rightChars="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（权重16%）</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b/>
                <w:bCs/>
                <w:color w:val="auto"/>
                <w:sz w:val="21"/>
                <w:szCs w:val="21"/>
              </w:rPr>
            </w:pPr>
          </w:p>
        </w:tc>
        <w:tc>
          <w:tcPr>
            <w:tcW w:w="29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imes New Roman" w:hAnsi="Times New Roman" w:cs="Times New Roman"/>
                <w:color w:val="auto"/>
                <w:sz w:val="21"/>
                <w:szCs w:val="21"/>
              </w:rPr>
            </w:pPr>
            <w:r>
              <w:rPr>
                <w:rFonts w:hint="eastAsia" w:ascii="仿宋_GB2312" w:hAnsi="仿宋_GB2312" w:eastAsia="仿宋_GB2312" w:cs="仿宋_GB2312"/>
                <w:color w:val="auto"/>
                <w:szCs w:val="21"/>
                <w:lang w:val="en-US" w:eastAsia="zh-CN"/>
              </w:rPr>
              <w:t>重点围绕工作实绩实效进行评价，包括贯彻执行党中央、国务院重大决策部署，省委省政府、市委市政府和区委区政府重点工作安排；服务区委、区政府重点、中心工作；从严治党，落实党建工作责任制；立足职能职责，完成本单位核心业务目标和重难点工作等情况。</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9"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3.</w:t>
            </w:r>
            <w:r>
              <w:rPr>
                <w:rFonts w:hint="eastAsia" w:ascii="Times New Roman" w:hAnsi="Times New Roman" w:cs="Times New Roman"/>
                <w:b/>
                <w:bCs/>
                <w:color w:val="auto"/>
                <w:sz w:val="21"/>
                <w:szCs w:val="21"/>
                <w:lang w:eastAsia="zh-CN"/>
              </w:rPr>
              <w:t>能力建设</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（权重</w:t>
            </w:r>
            <w:r>
              <w:rPr>
                <w:rFonts w:hint="eastAsia" w:ascii="Times New Roman" w:hAnsi="Times New Roman" w:cs="Times New Roman"/>
                <w:b/>
                <w:bCs/>
                <w:color w:val="auto"/>
                <w:sz w:val="21"/>
                <w:szCs w:val="21"/>
                <w:lang w:val="en-US" w:eastAsia="zh-CN"/>
              </w:rPr>
              <w:t>16</w:t>
            </w:r>
            <w:r>
              <w:rPr>
                <w:rFonts w:hint="eastAsia" w:ascii="Times New Roman" w:hAnsi="Times New Roman" w:cs="Times New Roman"/>
                <w:b/>
                <w:bCs/>
                <w:color w:val="auto"/>
                <w:sz w:val="21"/>
                <w:szCs w:val="21"/>
                <w:lang w:eastAsia="zh-CN"/>
              </w:rPr>
              <w:t>%）</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ascii="Times New Roman" w:hAnsi="Times New Roman" w:cs="Times New Roman"/>
                <w:color w:val="auto"/>
                <w:sz w:val="21"/>
                <w:szCs w:val="21"/>
              </w:rPr>
            </w:pPr>
            <w:r>
              <w:rPr>
                <w:rFonts w:hint="eastAsia" w:ascii="仿宋_GB2312" w:hAnsi="仿宋_GB2312" w:eastAsia="仿宋_GB2312" w:cs="仿宋_GB2312"/>
                <w:color w:val="auto"/>
                <w:szCs w:val="21"/>
                <w:lang w:val="en-US" w:eastAsia="zh-CN"/>
              </w:rPr>
              <w:t>重点围绕单位的工作水平、工作效率、工作业绩等进行评价，包括政治能力、依法行政能力、业务能力、攻坚能力、驾驭风险等能力建设情况。</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4"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default" w:ascii="Times New Roman" w:hAnsi="Times New Roman" w:cs="Times New Roman"/>
                <w:b/>
                <w:bCs/>
                <w:color w:val="auto"/>
                <w:sz w:val="21"/>
                <w:szCs w:val="21"/>
                <w:lang w:val="en" w:eastAsia="zh-CN"/>
              </w:rPr>
            </w:pPr>
            <w:r>
              <w:rPr>
                <w:rFonts w:hint="eastAsia"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eastAsia="zh-CN"/>
              </w:rPr>
              <w:t>为民服务</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（权重</w:t>
            </w:r>
            <w:r>
              <w:rPr>
                <w:rFonts w:hint="eastAsia" w:ascii="Times New Roman" w:hAnsi="Times New Roman" w:cs="Times New Roman"/>
                <w:b/>
                <w:bCs/>
                <w:color w:val="auto"/>
                <w:sz w:val="21"/>
                <w:szCs w:val="21"/>
                <w:lang w:val="en-US" w:eastAsia="zh-CN"/>
              </w:rPr>
              <w:t>16</w:t>
            </w:r>
            <w:r>
              <w:rPr>
                <w:rFonts w:hint="eastAsia" w:ascii="Times New Roman" w:hAnsi="Times New Roman" w:cs="Times New Roman"/>
                <w:b/>
                <w:bCs/>
                <w:color w:val="auto"/>
                <w:sz w:val="21"/>
                <w:szCs w:val="21"/>
                <w:lang w:eastAsia="zh-CN"/>
              </w:rPr>
              <w:t>%）</w:t>
            </w:r>
          </w:p>
        </w:tc>
        <w:tc>
          <w:tcPr>
            <w:tcW w:w="29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imes New Roman" w:hAnsi="Times New Roman" w:cs="Times New Roman"/>
                <w:color w:val="auto"/>
                <w:sz w:val="21"/>
                <w:szCs w:val="21"/>
              </w:rPr>
            </w:pPr>
            <w:r>
              <w:rPr>
                <w:rFonts w:hint="eastAsia" w:ascii="仿宋_GB2312" w:hAnsi="仿宋_GB2312" w:eastAsia="仿宋_GB2312" w:cs="仿宋_GB2312"/>
                <w:color w:val="auto"/>
                <w:szCs w:val="21"/>
                <w:lang w:val="en-US" w:eastAsia="zh-CN"/>
              </w:rPr>
              <w:t>重点围绕为民办实事事项和服务保障民生方面进行评价，包括区委区政府2024年为民办实事事项完成情况；包括立足本部门职责，为群众解决实际问题，为企业送政策及排忧解难；简化审批及办事流程，推行便民服务等为基层减负措施。</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3"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lang w:val="en-US" w:eastAsia="zh-CN"/>
              </w:rPr>
              <w:t>党的建设</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b/>
                <w:bCs/>
                <w:color w:val="auto"/>
                <w:sz w:val="21"/>
                <w:szCs w:val="21"/>
                <w:lang w:eastAsia="zh-CN"/>
              </w:rPr>
              <w:t>（权重</w:t>
            </w:r>
            <w:r>
              <w:rPr>
                <w:rFonts w:hint="eastAsia" w:ascii="Times New Roman" w:hAnsi="Times New Roman" w:cs="Times New Roman"/>
                <w:b/>
                <w:bCs/>
                <w:color w:val="auto"/>
                <w:sz w:val="21"/>
                <w:szCs w:val="21"/>
                <w:lang w:val="en-US" w:eastAsia="zh-CN"/>
              </w:rPr>
              <w:t>16</w:t>
            </w:r>
            <w:r>
              <w:rPr>
                <w:rFonts w:hint="eastAsia" w:ascii="Times New Roman" w:hAnsi="Times New Roman" w:cs="Times New Roman"/>
                <w:b/>
                <w:bCs/>
                <w:color w:val="auto"/>
                <w:sz w:val="21"/>
                <w:szCs w:val="21"/>
                <w:lang w:eastAsia="zh-CN"/>
              </w:rPr>
              <w:t>%）</w:t>
            </w:r>
          </w:p>
        </w:tc>
        <w:tc>
          <w:tcPr>
            <w:tcW w:w="29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auto"/>
                <w:sz w:val="21"/>
                <w:szCs w:val="21"/>
                <w:lang w:eastAsia="zh-CN"/>
              </w:rPr>
            </w:pPr>
            <w:r>
              <w:rPr>
                <w:rFonts w:hint="eastAsia" w:ascii="仿宋_GB2312" w:hAnsi="仿宋_GB2312" w:eastAsia="仿宋_GB2312" w:cs="仿宋_GB2312"/>
                <w:color w:val="auto"/>
                <w:szCs w:val="21"/>
                <w:lang w:val="en-US" w:eastAsia="zh-CN"/>
              </w:rPr>
              <w:t>重点围绕党组织建设方面进行评价，包括</w:t>
            </w:r>
            <w:r>
              <w:rPr>
                <w:rFonts w:hint="default" w:ascii="仿宋_GB2312" w:hAnsi="仿宋_GB2312" w:eastAsia="仿宋_GB2312" w:cs="仿宋_GB2312"/>
                <w:color w:val="auto"/>
                <w:szCs w:val="21"/>
                <w:lang w:val="en-US" w:eastAsia="zh-CN"/>
              </w:rPr>
              <w:t>党员队伍建设、组织活动开展、运行机制健全、服务群众、明确工作任务、履行党建责任。</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6.</w:t>
            </w:r>
            <w:r>
              <w:rPr>
                <w:rFonts w:ascii="Times New Roman" w:hAnsi="Times New Roman" w:cs="Times New Roman"/>
                <w:b/>
                <w:bCs/>
                <w:color w:val="auto"/>
                <w:sz w:val="21"/>
                <w:szCs w:val="21"/>
              </w:rPr>
              <w:t>廉洁自律</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（权重16%）</w:t>
            </w:r>
          </w:p>
        </w:tc>
        <w:tc>
          <w:tcPr>
            <w:tcW w:w="29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imes New Roman" w:hAnsi="Times New Roman" w:cs="Times New Roman"/>
                <w:color w:val="auto"/>
                <w:sz w:val="21"/>
                <w:szCs w:val="21"/>
              </w:rPr>
            </w:pPr>
            <w:r>
              <w:rPr>
                <w:rFonts w:hint="eastAsia" w:ascii="仿宋_GB2312" w:hAnsi="仿宋_GB2312" w:eastAsia="仿宋_GB2312" w:cs="仿宋_GB2312"/>
                <w:color w:val="auto"/>
                <w:szCs w:val="21"/>
                <w:lang w:val="en-US" w:eastAsia="zh-CN"/>
              </w:rPr>
              <w:t>重点考察单位党风廉政建设情况，包括遵守廉洁从政和廉洁从业各项规定；查处违纪违规问题，杜绝吃拿卡要、公款旅游、公款送礼、违规公款吃喝等挥霍浪费问题。</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8" w:hRule="atLeast"/>
        </w:trPr>
        <w:tc>
          <w:tcPr>
            <w:tcW w:w="9650" w:type="dxa"/>
            <w:gridSpan w:val="12"/>
            <w:vAlign w:val="top"/>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ascii="Times New Roman" w:hAnsi="Times New Roman" w:cs="Times New Roman"/>
                <w:color w:val="auto"/>
                <w:sz w:val="21"/>
                <w:szCs w:val="21"/>
              </w:rPr>
            </w:pPr>
            <w:r>
              <w:rPr>
                <w:rFonts w:hint="eastAsia" w:ascii="宋体" w:hAnsi="宋体" w:eastAsia="宋体" w:cs="宋体"/>
                <w:b/>
                <w:bCs/>
                <w:color w:val="auto"/>
                <w:kern w:val="0"/>
                <w:sz w:val="21"/>
                <w:szCs w:val="21"/>
                <w:highlight w:val="none"/>
              </w:rPr>
              <w:t>您认为该单位哪些方面工作需改进提升？您有何具体建议？</w:t>
            </w: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tc>
      </w:tr>
      <w:bookmarkEnd w:id="8"/>
      <w:bookmarkEnd w:id="9"/>
      <w:bookmarkEnd w:id="86"/>
      <w:bookmarkEnd w:id="87"/>
    </w:tbl>
    <w:p>
      <w:pPr>
        <w:rPr>
          <w:rFonts w:hint="eastAsia" w:ascii="方正黑体_GBK" w:hAnsi="方正黑体_GBK" w:eastAsia="方正黑体_GBK" w:cs="方正黑体_GBK"/>
          <w:bCs/>
          <w:sz w:val="32"/>
          <w:szCs w:val="32"/>
          <w:lang w:eastAsia="zh-CN"/>
        </w:rPr>
        <w:sectPr>
          <w:pgSz w:w="11906" w:h="16838"/>
          <w:pgMar w:top="1418" w:right="1588" w:bottom="1418" w:left="1588"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eastAsia="zh-CN"/>
        </w:rPr>
        <w:t>附件</w:t>
      </w:r>
      <w:r>
        <w:rPr>
          <w:rFonts w:hint="eastAsia" w:ascii="方正黑体_GBK" w:hAnsi="方正黑体_GBK" w:eastAsia="方正黑体_GBK" w:cs="方正黑体_GBK"/>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方正仿宋_GBK" w:hAnsi="方正仿宋_GBK" w:eastAsia="方正仿宋_GBK" w:cs="方正仿宋_GBK"/>
          <w:b/>
          <w:bCs w:val="0"/>
          <w:sz w:val="32"/>
          <w:szCs w:val="32"/>
          <w:lang w:val="en-US" w:eastAsia="zh-CN"/>
        </w:rPr>
      </w:pPr>
      <w:bookmarkStart w:id="90" w:name="_Toc5400_WPSOffice_Level1"/>
      <w:bookmarkStart w:id="91" w:name="_Toc698939096_WPSOffice_Level1"/>
      <w:bookmarkStart w:id="92" w:name="_Toc30131_WPSOffice_Level1"/>
      <w:r>
        <w:rPr>
          <w:rFonts w:hint="eastAsia" w:ascii="方正小标宋_GBK" w:hAnsi="方正小标宋_GBK" w:eastAsia="方正小标宋_GBK" w:cs="方正小标宋_GBK"/>
          <w:bCs/>
          <w:sz w:val="44"/>
          <w:szCs w:val="44"/>
          <w:lang w:eastAsia="zh-CN"/>
        </w:rPr>
        <w:t>被评议对象分类名单</w:t>
      </w:r>
      <w:bookmarkEnd w:id="90"/>
      <w:bookmarkEnd w:id="91"/>
      <w:bookmarkEnd w:id="92"/>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仿宋_GB2312"/>
          <w:bCs/>
          <w:sz w:val="32"/>
          <w:szCs w:val="32"/>
          <w:lang w:val="en-US" w:eastAsia="zh-CN"/>
        </w:rPr>
      </w:pPr>
      <w:r>
        <w:rPr>
          <w:rFonts w:hint="eastAsia" w:ascii="Times New Roman" w:hAnsi="Times New Roman" w:eastAsia="仿宋_GB2312" w:cs="仿宋_GB2312"/>
          <w:bCs/>
          <w:sz w:val="32"/>
          <w:szCs w:val="32"/>
          <w:lang w:val="en-US" w:eastAsia="zh-CN"/>
        </w:rPr>
        <w:t>按照职能相近原则，将被评单位分为党群、人大、政协等机关部门、政府工作部门两类，共计33个被评单位。具体如下：</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黑体_GBK" w:hAnsi="方正黑体_GBK" w:eastAsia="方正黑体_GBK" w:cs="方正黑体_GBK"/>
          <w:b w:val="0"/>
          <w:bCs/>
          <w:sz w:val="32"/>
          <w:szCs w:val="32"/>
        </w:rPr>
      </w:pPr>
      <w:bookmarkStart w:id="93" w:name="_Toc16189_WPSOffice_Level1"/>
      <w:bookmarkStart w:id="94" w:name="_Toc1549499471_WPSOffice_Level1"/>
      <w:bookmarkStart w:id="95" w:name="_Toc23295_WPSOffice_Level1"/>
      <w:r>
        <w:rPr>
          <w:rFonts w:hint="eastAsia" w:ascii="方正黑体_GBK" w:hAnsi="方正黑体_GBK" w:eastAsia="方正黑体_GBK" w:cs="方正黑体_GBK"/>
          <w:b w:val="0"/>
          <w:bCs/>
          <w:sz w:val="32"/>
          <w:szCs w:val="32"/>
          <w:lang w:val="en-US" w:eastAsia="zh-CN"/>
        </w:rPr>
        <w:t>一、</w:t>
      </w:r>
      <w:r>
        <w:rPr>
          <w:rFonts w:hint="eastAsia" w:ascii="方正黑体_GBK" w:hAnsi="方正黑体_GBK" w:eastAsia="方正黑体_GBK" w:cs="方正黑体_GBK"/>
          <w:b w:val="0"/>
          <w:bCs/>
          <w:sz w:val="32"/>
          <w:szCs w:val="32"/>
        </w:rPr>
        <w:t>党群、人大政协等机关部门（</w:t>
      </w:r>
      <w:r>
        <w:rPr>
          <w:rFonts w:hint="eastAsia" w:ascii="方正黑体_GBK" w:hAnsi="方正黑体_GBK" w:eastAsia="方正黑体_GBK" w:cs="方正黑体_GBK"/>
          <w:b w:val="0"/>
          <w:bCs/>
          <w:sz w:val="32"/>
          <w:szCs w:val="32"/>
          <w:lang w:val="en-US" w:eastAsia="zh-CN"/>
        </w:rPr>
        <w:t>13</w:t>
      </w:r>
      <w:r>
        <w:rPr>
          <w:rFonts w:hint="eastAsia" w:ascii="方正黑体_GBK" w:hAnsi="方正黑体_GBK" w:eastAsia="方正黑体_GBK" w:cs="方正黑体_GBK"/>
          <w:b w:val="0"/>
          <w:bCs/>
          <w:sz w:val="32"/>
          <w:szCs w:val="32"/>
        </w:rPr>
        <w:t>个）</w:t>
      </w:r>
      <w:bookmarkEnd w:id="93"/>
      <w:bookmarkEnd w:id="94"/>
      <w:bookmarkEnd w:id="95"/>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rPr>
      </w:pPr>
      <w:bookmarkStart w:id="96" w:name="_Toc15360_WPSOffice_Level1"/>
      <w:bookmarkStart w:id="97" w:name="_Toc16705_WPSOffice_Level1"/>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中共三亚市天涯区纪律检查委员会</w:t>
      </w:r>
      <w:r>
        <w:rPr>
          <w:rFonts w:hint="eastAsia" w:ascii="Times New Roman" w:hAnsi="Times New Roman" w:eastAsia="仿宋_GB2312" w:cs="Times New Roman"/>
          <w:sz w:val="32"/>
          <w:szCs w:val="32"/>
          <w:lang w:val="en-US" w:eastAsia="zh-CN"/>
        </w:rPr>
        <w:t>（三亚市天涯区监察委员会、含中共三亚市天涯区委巡察工作领导小组办公室）、中共三亚市天涯区委员会办公室、中共三亚市天涯区委组织部（含</w:t>
      </w:r>
      <w:r>
        <w:rPr>
          <w:rFonts w:hint="eastAsia" w:ascii="Times New Roman" w:hAnsi="Times New Roman" w:eastAsia="仿宋_GB2312" w:cs="Times New Roman"/>
          <w:sz w:val="32"/>
          <w:szCs w:val="32"/>
        </w:rPr>
        <w:t>中共三亚市天涯区委机构编制委员会办公室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、中共三亚市天涯区委宣传部、中共三亚市天涯区委统一战线工作部、中共三亚市天涯区委</w:t>
      </w:r>
      <w:r>
        <w:rPr>
          <w:rFonts w:hint="eastAsia" w:ascii="Times New Roman" w:hAnsi="Times New Roman" w:eastAsia="仿宋_GB2312" w:cs="Times New Roman"/>
          <w:sz w:val="32"/>
          <w:szCs w:val="32"/>
          <w:lang w:eastAsia="zh-CN"/>
        </w:rPr>
        <w:t>社会工作部、</w:t>
      </w:r>
      <w:r>
        <w:rPr>
          <w:rFonts w:hint="default" w:ascii="Times New Roman" w:hAnsi="Times New Roman" w:eastAsia="仿宋_GB2312" w:cs="Times New Roman"/>
          <w:sz w:val="32"/>
          <w:szCs w:val="32"/>
        </w:rPr>
        <w:t>中共三亚市天涯区委政法委员会、中共三亚市天涯区委直属机关工作委员会。</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三亚市天涯区人大机关</w:t>
      </w:r>
      <w:r>
        <w:rPr>
          <w:rFonts w:hint="default" w:ascii="Times New Roman" w:hAnsi="Times New Roman" w:eastAsia="仿宋_GB2312" w:cs="Times New Roman"/>
          <w:sz w:val="32"/>
          <w:szCs w:val="32"/>
          <w:lang w:eastAsia="zh-CN"/>
        </w:rPr>
        <w:t>、三亚市天涯区政协机关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三亚市</w:t>
      </w:r>
      <w:r>
        <w:rPr>
          <w:rFonts w:hint="default" w:ascii="Times New Roman" w:hAnsi="Times New Roman" w:eastAsia="仿宋_GB2312" w:cs="Times New Roman"/>
          <w:sz w:val="32"/>
          <w:szCs w:val="32"/>
        </w:rPr>
        <w:t>天涯区总工会、共青团三亚市天涯区委员会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三亚市天涯区妇女联合会。</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黑体_GBK" w:hAnsi="方正黑体_GBK" w:eastAsia="方正黑体_GBK" w:cs="方正黑体_GBK"/>
          <w:b w:val="0"/>
          <w:bCs/>
          <w:sz w:val="32"/>
          <w:szCs w:val="32"/>
        </w:rPr>
      </w:pPr>
      <w:bookmarkStart w:id="98" w:name="_Toc1713250378_WPSOffice_Level1"/>
      <w:r>
        <w:rPr>
          <w:rFonts w:hint="eastAsia" w:ascii="方正黑体_GBK" w:hAnsi="方正黑体_GBK" w:eastAsia="方正黑体_GBK" w:cs="方正黑体_GBK"/>
          <w:b w:val="0"/>
          <w:bCs/>
          <w:sz w:val="32"/>
          <w:szCs w:val="32"/>
          <w:lang w:val="en-US" w:eastAsia="zh-CN"/>
        </w:rPr>
        <w:t>二、</w:t>
      </w:r>
      <w:r>
        <w:rPr>
          <w:rFonts w:hint="eastAsia" w:ascii="方正黑体_GBK" w:hAnsi="方正黑体_GBK" w:eastAsia="方正黑体_GBK" w:cs="方正黑体_GBK"/>
          <w:b w:val="0"/>
          <w:bCs/>
          <w:sz w:val="32"/>
          <w:szCs w:val="32"/>
        </w:rPr>
        <w:t>政府工作部门（</w:t>
      </w:r>
      <w:r>
        <w:rPr>
          <w:rFonts w:hint="eastAsia" w:ascii="方正黑体_GBK" w:hAnsi="方正黑体_GBK" w:eastAsia="方正黑体_GBK" w:cs="方正黑体_GBK"/>
          <w:b w:val="0"/>
          <w:bCs/>
          <w:sz w:val="32"/>
          <w:szCs w:val="32"/>
          <w:lang w:val="en-US" w:eastAsia="zh-CN"/>
        </w:rPr>
        <w:t>20</w:t>
      </w:r>
      <w:r>
        <w:rPr>
          <w:rFonts w:hint="eastAsia" w:ascii="方正黑体_GBK" w:hAnsi="方正黑体_GBK" w:eastAsia="方正黑体_GBK" w:cs="方正黑体_GBK"/>
          <w:b w:val="0"/>
          <w:bCs/>
          <w:sz w:val="32"/>
          <w:szCs w:val="32"/>
        </w:rPr>
        <w:t>个）</w:t>
      </w:r>
      <w:bookmarkEnd w:id="96"/>
      <w:bookmarkEnd w:id="97"/>
      <w:bookmarkEnd w:id="98"/>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仿宋_GB2312"/>
          <w:bCs/>
          <w:sz w:val="32"/>
          <w:szCs w:val="32"/>
          <w:lang w:eastAsia="zh-CN"/>
        </w:rPr>
      </w:pPr>
      <w:r>
        <w:rPr>
          <w:rFonts w:hint="default" w:ascii="Times New Roman" w:hAnsi="Times New Roman" w:eastAsia="仿宋_GB2312" w:cs="Times New Roman"/>
          <w:sz w:val="32"/>
          <w:szCs w:val="32"/>
        </w:rPr>
        <w:t>三亚市天涯区人民政府办公室、三亚市天涯区发展和改革委员会、三亚市天涯区</w:t>
      </w:r>
      <w:r>
        <w:rPr>
          <w:rFonts w:hint="eastAsia" w:ascii="Times New Roman" w:hAnsi="Times New Roman" w:eastAsia="仿宋_GB2312" w:cs="Times New Roman"/>
          <w:sz w:val="32"/>
          <w:szCs w:val="32"/>
          <w:lang w:val="en-US" w:eastAsia="zh-CN"/>
        </w:rPr>
        <w:t>营商环境建设</w:t>
      </w:r>
      <w:r>
        <w:rPr>
          <w:rFonts w:hint="default" w:ascii="Times New Roman" w:hAnsi="Times New Roman" w:eastAsia="仿宋_GB2312" w:cs="Times New Roman"/>
          <w:sz w:val="32"/>
          <w:szCs w:val="32"/>
        </w:rPr>
        <w:t>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三亚市天涯区旅游和文化广电体育局、三亚市天涯区农业农村局、三亚市天涯区</w:t>
      </w:r>
      <w:r>
        <w:rPr>
          <w:rFonts w:hint="eastAsia" w:ascii="仿宋_GB2312" w:hAnsi="仿宋_GB2312" w:eastAsia="仿宋_GB2312" w:cs="仿宋_GB2312"/>
          <w:color w:val="auto"/>
          <w:spacing w:val="0"/>
          <w:sz w:val="32"/>
          <w:szCs w:val="32"/>
          <w:lang w:val="en-US" w:eastAsia="zh-CN"/>
        </w:rPr>
        <w:t>商务</w:t>
      </w:r>
      <w:r>
        <w:rPr>
          <w:rFonts w:hint="default" w:ascii="Times New Roman" w:hAnsi="Times New Roman" w:eastAsia="仿宋_GB2312" w:cs="Times New Roman"/>
          <w:sz w:val="32"/>
          <w:szCs w:val="32"/>
        </w:rPr>
        <w:t>局、三亚市天涯区财政局、三亚市天涯区人力资源和社会保障局、三亚市天涯区教育局、三亚市天涯区卫生健康委员会、三亚市天涯区司法局、三亚市天涯区民政局、三亚市天涯区住房和城乡建设局、三亚市天涯区交通运输局、三亚市天涯区审计局、</w:t>
      </w:r>
      <w:r>
        <w:rPr>
          <w:rFonts w:hint="eastAsia" w:ascii="仿宋_GB2312" w:hAnsi="仿宋_GB2312" w:eastAsia="仿宋_GB2312" w:cs="仿宋_GB2312"/>
          <w:color w:val="auto"/>
          <w:spacing w:val="0"/>
          <w:sz w:val="32"/>
          <w:szCs w:val="32"/>
          <w:lang w:val="en-US" w:eastAsia="zh-CN"/>
        </w:rPr>
        <w:t>三亚市天涯区水务林业局、</w:t>
      </w:r>
      <w:r>
        <w:rPr>
          <w:rFonts w:hint="default" w:ascii="Times New Roman" w:hAnsi="Times New Roman" w:eastAsia="仿宋_GB2312" w:cs="Times New Roman"/>
          <w:sz w:val="32"/>
          <w:szCs w:val="32"/>
        </w:rPr>
        <w:t>三亚市天涯区退役军人事务局、三亚市天涯区应急管理局、三亚市天涯区统计局、三亚市综合行政执法局天涯分局。</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firstLine="642" w:firstLineChars="200"/>
        <w:textAlignment w:val="auto"/>
        <w:rPr>
          <w:rFonts w:hint="eastAsia" w:ascii="方正仿宋_GBK" w:hAnsi="方正仿宋_GBK" w:eastAsia="方正仿宋_GBK" w:cs="方正仿宋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ind w:firstLine="642" w:firstLineChars="200"/>
        <w:textAlignment w:val="auto"/>
        <w:rPr>
          <w:rFonts w:hint="eastAsia" w:ascii="方正仿宋_GBK" w:hAnsi="方正仿宋_GBK" w:eastAsia="方正仿宋_GBK" w:cs="方正仿宋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ind w:firstLine="642" w:firstLineChars="200"/>
        <w:textAlignment w:val="auto"/>
        <w:rPr>
          <w:rFonts w:hint="eastAsia" w:ascii="方正仿宋_GBK" w:hAnsi="方正仿宋_GBK" w:eastAsia="方正仿宋_GBK" w:cs="方正仿宋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ind w:firstLine="642" w:firstLineChars="200"/>
        <w:textAlignment w:val="auto"/>
        <w:rPr>
          <w:rFonts w:hint="eastAsia" w:ascii="方正仿宋_GBK" w:hAnsi="方正仿宋_GBK" w:eastAsia="方正仿宋_GBK" w:cs="方正仿宋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ind w:firstLine="642" w:firstLineChars="200"/>
        <w:textAlignment w:val="auto"/>
        <w:rPr>
          <w:rFonts w:hint="eastAsia" w:ascii="方正仿宋_GBK" w:hAnsi="方正仿宋_GBK" w:eastAsia="方正仿宋_GBK" w:cs="方正仿宋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ind w:firstLine="642" w:firstLineChars="200"/>
        <w:textAlignment w:val="auto"/>
        <w:rPr>
          <w:rFonts w:hint="eastAsia" w:ascii="方正仿宋_GBK" w:hAnsi="方正仿宋_GBK" w:eastAsia="方正仿宋_GBK" w:cs="方正仿宋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方正黑体_GBK" w:hAnsi="方正黑体_GBK" w:eastAsia="方正黑体_GBK" w:cs="方正黑体_GBK"/>
          <w:b w:val="0"/>
          <w:bCs w:val="0"/>
          <w:sz w:val="32"/>
          <w:szCs w:val="32"/>
          <w:lang w:val="en-US" w:eastAsia="zh-CN"/>
        </w:rPr>
        <w:sectPr>
          <w:pgSz w:w="11906" w:h="16838"/>
          <w:pgMar w:top="1418" w:right="1588" w:bottom="1418" w:left="1588"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方正小标宋_GBK" w:hAnsi="方正小标宋_GBK" w:eastAsia="方正小标宋_GBK" w:cs="方正小标宋_GBK"/>
          <w:b w:val="0"/>
          <w:bCs w:val="0"/>
          <w:sz w:val="44"/>
          <w:szCs w:val="44"/>
          <w:lang w:val="en-US" w:eastAsia="zh-CN"/>
        </w:rPr>
      </w:pPr>
      <w:bookmarkStart w:id="99" w:name="_Toc811030592_WPSOffice_Level1"/>
      <w:bookmarkStart w:id="100" w:name="_Toc25936_WPSOffice_Level1"/>
      <w:bookmarkStart w:id="101" w:name="_Toc6203_WPSOffice_Level1"/>
      <w:r>
        <w:rPr>
          <w:rFonts w:hint="eastAsia" w:ascii="方正小标宋_GBK" w:hAnsi="方正小标宋_GBK" w:eastAsia="方正小标宋_GBK" w:cs="方正小标宋_GBK"/>
          <w:b w:val="0"/>
          <w:bCs w:val="0"/>
          <w:sz w:val="44"/>
          <w:szCs w:val="44"/>
          <w:lang w:val="en-US" w:eastAsia="zh-CN"/>
        </w:rPr>
        <w:t>调查内容及注解</w:t>
      </w:r>
      <w:bookmarkEnd w:id="99"/>
      <w:bookmarkEnd w:id="100"/>
      <w:bookmarkEnd w:id="101"/>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作风建设（权重20%）。重点围绕全面提升行政效能的作风表现进行评价，包括“四风”建设中是否存在思想不解放因循守旧、执行力落实力不强、“不干事、不担事、事难办”、文山会海向基层蔓延、检查考核过多过频、指尖上的形式主义、吃拿卡要拖、漠视群众利益和诉求等作风突出问题。</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履职尽责（权重16%）。重点围绕工作实绩实效进行评价，包括贯彻执行党中央、国务院重大决策部署，省委省政府、市委市政府和区委区政府重点工作安排；服务区委、区政府重点、中心工作；从严治党，落实党建工作责任制；立足职能职责，完成本单位核心业务目标和重难点工作等情况。</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3.能力建设（权重16%）。重点围绕单位的工作水平、工作效率、工作业绩等进行评价，包括政治能力、依法行政能力、业务能力、攻坚能力、驾驭风险等能力建设情况。</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为民服务（权重16%）。重点围绕为民办实事事项和服务保障民生方面进行评价，包括区委区政府2024年为民办实事事项完成情况；包括立足本部门职责，为群众解决实际问题，为企业送政策及排忧解难；简化审批及办事流程，推行便民服务等为基层减负措施。</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5.党的建设（权重16%）。重点围绕党组织建设方面进行评价，包括党员队伍建设、组织活动开展、运行机制健全、服务群众、明确工作任务、履行党建责任。</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6.廉洁自律（权重16%）。重点考察单位党风廉政建设情况，包括遵守廉洁从政和廉洁从业各项规定；查处违纪违规问题，杜绝吃拿卡要、公款旅游、公款送礼、违规公款吃喝等挥霍浪费问题。</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Times New Roman" w:hAnsi="Times New Roman" w:eastAsia="仿宋_GB2312" w:cs="Times New Roman"/>
          <w:sz w:val="32"/>
          <w:szCs w:val="32"/>
          <w:lang w:val="en-US" w:eastAsia="zh-CN"/>
        </w:rPr>
      </w:pPr>
    </w:p>
    <w:sectPr>
      <w:pgSz w:w="11906" w:h="16838"/>
      <w:pgMar w:top="2098" w:right="1474" w:bottom="198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w:pict>
        <v:shape id="_x0000_s3081" o:spid="_x0000_s3081"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w:pict>
        <v:shape id="_x0000_s3082" o:spid="_x0000_s3082"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E43F1"/>
    <w:multiLevelType w:val="multilevel"/>
    <w:tmpl w:val="F88E43F1"/>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2"/>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5451BE"/>
    <w:rsid w:val="0007758A"/>
    <w:rsid w:val="000F39B1"/>
    <w:rsid w:val="001C401F"/>
    <w:rsid w:val="0022132F"/>
    <w:rsid w:val="002448C0"/>
    <w:rsid w:val="002A5115"/>
    <w:rsid w:val="002B3706"/>
    <w:rsid w:val="002C5C58"/>
    <w:rsid w:val="00343F56"/>
    <w:rsid w:val="00366C0C"/>
    <w:rsid w:val="00426C03"/>
    <w:rsid w:val="00454647"/>
    <w:rsid w:val="0046761B"/>
    <w:rsid w:val="004A2DA7"/>
    <w:rsid w:val="004A49A2"/>
    <w:rsid w:val="004D0CF4"/>
    <w:rsid w:val="004E38A6"/>
    <w:rsid w:val="004F690D"/>
    <w:rsid w:val="00526B9A"/>
    <w:rsid w:val="00542D18"/>
    <w:rsid w:val="005451BE"/>
    <w:rsid w:val="005875A8"/>
    <w:rsid w:val="005A6C6A"/>
    <w:rsid w:val="005B7673"/>
    <w:rsid w:val="005C122F"/>
    <w:rsid w:val="005F7574"/>
    <w:rsid w:val="00610FB4"/>
    <w:rsid w:val="0067728D"/>
    <w:rsid w:val="006B62EE"/>
    <w:rsid w:val="006C47F4"/>
    <w:rsid w:val="006E3C64"/>
    <w:rsid w:val="00717923"/>
    <w:rsid w:val="007731D1"/>
    <w:rsid w:val="00794717"/>
    <w:rsid w:val="007B6A57"/>
    <w:rsid w:val="007C42AE"/>
    <w:rsid w:val="007E3A9C"/>
    <w:rsid w:val="00821317"/>
    <w:rsid w:val="00853C65"/>
    <w:rsid w:val="008D1342"/>
    <w:rsid w:val="008F7D9D"/>
    <w:rsid w:val="00905B4F"/>
    <w:rsid w:val="009501E9"/>
    <w:rsid w:val="00986953"/>
    <w:rsid w:val="009C55AB"/>
    <w:rsid w:val="009F03C1"/>
    <w:rsid w:val="00A55AAE"/>
    <w:rsid w:val="00A6206D"/>
    <w:rsid w:val="00A740B1"/>
    <w:rsid w:val="00A77AE0"/>
    <w:rsid w:val="00A83349"/>
    <w:rsid w:val="00A90669"/>
    <w:rsid w:val="00AB018D"/>
    <w:rsid w:val="00AE0D77"/>
    <w:rsid w:val="00BF2035"/>
    <w:rsid w:val="00C74225"/>
    <w:rsid w:val="00CC7C05"/>
    <w:rsid w:val="00D06229"/>
    <w:rsid w:val="00DA2601"/>
    <w:rsid w:val="00DA32DA"/>
    <w:rsid w:val="00DA3DD1"/>
    <w:rsid w:val="00DF0ED5"/>
    <w:rsid w:val="00DF5420"/>
    <w:rsid w:val="00E01DF5"/>
    <w:rsid w:val="00E571F3"/>
    <w:rsid w:val="00E70880"/>
    <w:rsid w:val="00EB0AA8"/>
    <w:rsid w:val="00F30DB2"/>
    <w:rsid w:val="00F3612C"/>
    <w:rsid w:val="00F56063"/>
    <w:rsid w:val="00FB6824"/>
    <w:rsid w:val="00FD1F2A"/>
    <w:rsid w:val="01256C47"/>
    <w:rsid w:val="01613C95"/>
    <w:rsid w:val="01C55775"/>
    <w:rsid w:val="01FD58CF"/>
    <w:rsid w:val="021E29A5"/>
    <w:rsid w:val="02867DB1"/>
    <w:rsid w:val="029F59B5"/>
    <w:rsid w:val="035C2B11"/>
    <w:rsid w:val="03633F1C"/>
    <w:rsid w:val="03911901"/>
    <w:rsid w:val="04A8684A"/>
    <w:rsid w:val="04CC6AB9"/>
    <w:rsid w:val="04FF7551"/>
    <w:rsid w:val="050C0533"/>
    <w:rsid w:val="05900AAD"/>
    <w:rsid w:val="062D501F"/>
    <w:rsid w:val="06927C7F"/>
    <w:rsid w:val="075C36FA"/>
    <w:rsid w:val="08537672"/>
    <w:rsid w:val="08715BC8"/>
    <w:rsid w:val="08A34DB8"/>
    <w:rsid w:val="095B625D"/>
    <w:rsid w:val="09B671C4"/>
    <w:rsid w:val="09F432B0"/>
    <w:rsid w:val="0A07759B"/>
    <w:rsid w:val="0A9A2012"/>
    <w:rsid w:val="0A9F56AB"/>
    <w:rsid w:val="0B1301BC"/>
    <w:rsid w:val="0BE1300C"/>
    <w:rsid w:val="0BF20130"/>
    <w:rsid w:val="0BF63EAB"/>
    <w:rsid w:val="0C3C7578"/>
    <w:rsid w:val="0C627E37"/>
    <w:rsid w:val="0C803FCB"/>
    <w:rsid w:val="0C8E63F3"/>
    <w:rsid w:val="0C903597"/>
    <w:rsid w:val="0D0511F9"/>
    <w:rsid w:val="0D13120C"/>
    <w:rsid w:val="0D614DE1"/>
    <w:rsid w:val="0DBC3817"/>
    <w:rsid w:val="0EEE204F"/>
    <w:rsid w:val="0EFB4523"/>
    <w:rsid w:val="101D3AD0"/>
    <w:rsid w:val="10816F2C"/>
    <w:rsid w:val="11A642FA"/>
    <w:rsid w:val="11B277E7"/>
    <w:rsid w:val="11FC4B10"/>
    <w:rsid w:val="12116FD6"/>
    <w:rsid w:val="125C25AB"/>
    <w:rsid w:val="132605BB"/>
    <w:rsid w:val="13425FF7"/>
    <w:rsid w:val="136F4A87"/>
    <w:rsid w:val="13734F3C"/>
    <w:rsid w:val="13BB37EC"/>
    <w:rsid w:val="13CA7D9F"/>
    <w:rsid w:val="13D40C6E"/>
    <w:rsid w:val="14D80741"/>
    <w:rsid w:val="155753EB"/>
    <w:rsid w:val="1590172E"/>
    <w:rsid w:val="15932355"/>
    <w:rsid w:val="160556CB"/>
    <w:rsid w:val="160B1DB7"/>
    <w:rsid w:val="16FA54CB"/>
    <w:rsid w:val="17087511"/>
    <w:rsid w:val="176D4D21"/>
    <w:rsid w:val="177F6C08"/>
    <w:rsid w:val="1788002A"/>
    <w:rsid w:val="17C92D4D"/>
    <w:rsid w:val="17F80E97"/>
    <w:rsid w:val="189A69E6"/>
    <w:rsid w:val="19112FD0"/>
    <w:rsid w:val="19437273"/>
    <w:rsid w:val="19FF46D7"/>
    <w:rsid w:val="1A2E1ADF"/>
    <w:rsid w:val="1A9B2CC3"/>
    <w:rsid w:val="1AA448FB"/>
    <w:rsid w:val="1AE7A500"/>
    <w:rsid w:val="1B4D5821"/>
    <w:rsid w:val="1B9368CB"/>
    <w:rsid w:val="1BBB1D88"/>
    <w:rsid w:val="1D3D4B6C"/>
    <w:rsid w:val="1D7F6DEF"/>
    <w:rsid w:val="1E9601BD"/>
    <w:rsid w:val="1EC639D0"/>
    <w:rsid w:val="1FDFE0B3"/>
    <w:rsid w:val="1FF772D8"/>
    <w:rsid w:val="20611F05"/>
    <w:rsid w:val="20927D6D"/>
    <w:rsid w:val="20A35660"/>
    <w:rsid w:val="20A656F2"/>
    <w:rsid w:val="21F50B43"/>
    <w:rsid w:val="229A4B54"/>
    <w:rsid w:val="230E380E"/>
    <w:rsid w:val="233B0FB1"/>
    <w:rsid w:val="23680A5A"/>
    <w:rsid w:val="23CA746B"/>
    <w:rsid w:val="243954FA"/>
    <w:rsid w:val="24AC0354"/>
    <w:rsid w:val="24F72435"/>
    <w:rsid w:val="259C1EC2"/>
    <w:rsid w:val="25B4606C"/>
    <w:rsid w:val="25BE0B79"/>
    <w:rsid w:val="25EB7532"/>
    <w:rsid w:val="260F02CF"/>
    <w:rsid w:val="26796840"/>
    <w:rsid w:val="268B7FEE"/>
    <w:rsid w:val="26956C88"/>
    <w:rsid w:val="26BA3942"/>
    <w:rsid w:val="27312FD9"/>
    <w:rsid w:val="293A0FB9"/>
    <w:rsid w:val="293F5F92"/>
    <w:rsid w:val="29661644"/>
    <w:rsid w:val="296F5A87"/>
    <w:rsid w:val="29CB1CE7"/>
    <w:rsid w:val="2A351898"/>
    <w:rsid w:val="2A7243B0"/>
    <w:rsid w:val="2ABD72F2"/>
    <w:rsid w:val="2AC3060C"/>
    <w:rsid w:val="2ACA4750"/>
    <w:rsid w:val="2B72187D"/>
    <w:rsid w:val="2BDD949C"/>
    <w:rsid w:val="2BF65FAD"/>
    <w:rsid w:val="2C821B92"/>
    <w:rsid w:val="2C9A5328"/>
    <w:rsid w:val="2D2D07EF"/>
    <w:rsid w:val="2E47076D"/>
    <w:rsid w:val="2F793DEE"/>
    <w:rsid w:val="2F802CC0"/>
    <w:rsid w:val="2F9B6903"/>
    <w:rsid w:val="2FF7AD57"/>
    <w:rsid w:val="30060926"/>
    <w:rsid w:val="311E3306"/>
    <w:rsid w:val="31987E70"/>
    <w:rsid w:val="32416E7C"/>
    <w:rsid w:val="340A7470"/>
    <w:rsid w:val="34244515"/>
    <w:rsid w:val="348D0233"/>
    <w:rsid w:val="35717CBC"/>
    <w:rsid w:val="357BB1FB"/>
    <w:rsid w:val="35B688DA"/>
    <w:rsid w:val="36AF42BA"/>
    <w:rsid w:val="36DA728E"/>
    <w:rsid w:val="36E46F2F"/>
    <w:rsid w:val="37EEA6F8"/>
    <w:rsid w:val="380B24DD"/>
    <w:rsid w:val="38744E5E"/>
    <w:rsid w:val="38FB69D6"/>
    <w:rsid w:val="391D657D"/>
    <w:rsid w:val="39910700"/>
    <w:rsid w:val="39B51AF7"/>
    <w:rsid w:val="39B56F89"/>
    <w:rsid w:val="3A887993"/>
    <w:rsid w:val="3A957C0A"/>
    <w:rsid w:val="3AB820BA"/>
    <w:rsid w:val="3B851E35"/>
    <w:rsid w:val="3B9B6557"/>
    <w:rsid w:val="3BD37119"/>
    <w:rsid w:val="3D464014"/>
    <w:rsid w:val="3E131DFD"/>
    <w:rsid w:val="3E4A10FE"/>
    <w:rsid w:val="3F504AF7"/>
    <w:rsid w:val="3F6049B4"/>
    <w:rsid w:val="3F77B9E1"/>
    <w:rsid w:val="3F9B95D4"/>
    <w:rsid w:val="3FB60916"/>
    <w:rsid w:val="3FFDE839"/>
    <w:rsid w:val="402975CF"/>
    <w:rsid w:val="40B63B26"/>
    <w:rsid w:val="40EA1C0C"/>
    <w:rsid w:val="40F61539"/>
    <w:rsid w:val="41116D71"/>
    <w:rsid w:val="41589504"/>
    <w:rsid w:val="41B655AB"/>
    <w:rsid w:val="41F4181A"/>
    <w:rsid w:val="41FA356B"/>
    <w:rsid w:val="420723E4"/>
    <w:rsid w:val="42972429"/>
    <w:rsid w:val="435F2DA8"/>
    <w:rsid w:val="44395B7B"/>
    <w:rsid w:val="445C6D68"/>
    <w:rsid w:val="44615F81"/>
    <w:rsid w:val="44FF20C1"/>
    <w:rsid w:val="45240D30"/>
    <w:rsid w:val="45257278"/>
    <w:rsid w:val="45577880"/>
    <w:rsid w:val="457A3499"/>
    <w:rsid w:val="458F0ED5"/>
    <w:rsid w:val="45B73C6C"/>
    <w:rsid w:val="45E84ACF"/>
    <w:rsid w:val="46752F28"/>
    <w:rsid w:val="470538C5"/>
    <w:rsid w:val="470B044B"/>
    <w:rsid w:val="47491858"/>
    <w:rsid w:val="47696C0E"/>
    <w:rsid w:val="48D544C6"/>
    <w:rsid w:val="48F2644B"/>
    <w:rsid w:val="494120AD"/>
    <w:rsid w:val="4957504A"/>
    <w:rsid w:val="49CF765D"/>
    <w:rsid w:val="4A103403"/>
    <w:rsid w:val="4B2038D0"/>
    <w:rsid w:val="4B5D20B0"/>
    <w:rsid w:val="4BD777FC"/>
    <w:rsid w:val="4C2204BA"/>
    <w:rsid w:val="4C8B5B0F"/>
    <w:rsid w:val="4C922CB9"/>
    <w:rsid w:val="4C9C1DCA"/>
    <w:rsid w:val="4CD46C39"/>
    <w:rsid w:val="4D145005"/>
    <w:rsid w:val="4DCC6468"/>
    <w:rsid w:val="4E555611"/>
    <w:rsid w:val="4E76562F"/>
    <w:rsid w:val="4E7C3E84"/>
    <w:rsid w:val="4EAF27FF"/>
    <w:rsid w:val="4EC04CC0"/>
    <w:rsid w:val="4FE70096"/>
    <w:rsid w:val="4FFE59CD"/>
    <w:rsid w:val="50395B9F"/>
    <w:rsid w:val="50FC206C"/>
    <w:rsid w:val="5150111E"/>
    <w:rsid w:val="51C32D2F"/>
    <w:rsid w:val="51F9E493"/>
    <w:rsid w:val="53094715"/>
    <w:rsid w:val="533308D7"/>
    <w:rsid w:val="533679EE"/>
    <w:rsid w:val="53891F21"/>
    <w:rsid w:val="53AF5868"/>
    <w:rsid w:val="53B6C63C"/>
    <w:rsid w:val="53FF6AE0"/>
    <w:rsid w:val="546148FC"/>
    <w:rsid w:val="549C6A20"/>
    <w:rsid w:val="54A12AAD"/>
    <w:rsid w:val="54A65963"/>
    <w:rsid w:val="54A9479E"/>
    <w:rsid w:val="55A14360"/>
    <w:rsid w:val="55F505F7"/>
    <w:rsid w:val="56937229"/>
    <w:rsid w:val="56D64D40"/>
    <w:rsid w:val="573E3DB0"/>
    <w:rsid w:val="57B66E89"/>
    <w:rsid w:val="57DDD5C5"/>
    <w:rsid w:val="583258D7"/>
    <w:rsid w:val="58660F19"/>
    <w:rsid w:val="594F6774"/>
    <w:rsid w:val="59B85E9E"/>
    <w:rsid w:val="5AA65046"/>
    <w:rsid w:val="5ABC63AF"/>
    <w:rsid w:val="5AE102C5"/>
    <w:rsid w:val="5B1C0256"/>
    <w:rsid w:val="5BC32884"/>
    <w:rsid w:val="5C032FE5"/>
    <w:rsid w:val="5CFC2F9C"/>
    <w:rsid w:val="5D594490"/>
    <w:rsid w:val="5D7E16A4"/>
    <w:rsid w:val="5DFDBB26"/>
    <w:rsid w:val="5E02659B"/>
    <w:rsid w:val="5E3E93F6"/>
    <w:rsid w:val="5E597246"/>
    <w:rsid w:val="5ECE01F4"/>
    <w:rsid w:val="5F630E22"/>
    <w:rsid w:val="5FD20129"/>
    <w:rsid w:val="5FDD96B0"/>
    <w:rsid w:val="5FFF474D"/>
    <w:rsid w:val="6056346F"/>
    <w:rsid w:val="60C23DEF"/>
    <w:rsid w:val="60F31DD5"/>
    <w:rsid w:val="616C47EA"/>
    <w:rsid w:val="61EE69B6"/>
    <w:rsid w:val="61FA1424"/>
    <w:rsid w:val="61FF51EB"/>
    <w:rsid w:val="620176AD"/>
    <w:rsid w:val="62033F31"/>
    <w:rsid w:val="621F38B2"/>
    <w:rsid w:val="624F6106"/>
    <w:rsid w:val="63055822"/>
    <w:rsid w:val="63261838"/>
    <w:rsid w:val="6341282C"/>
    <w:rsid w:val="6385658F"/>
    <w:rsid w:val="639643C5"/>
    <w:rsid w:val="63A9327E"/>
    <w:rsid w:val="63CFA14F"/>
    <w:rsid w:val="63ED4478"/>
    <w:rsid w:val="63F10E4D"/>
    <w:rsid w:val="64056E3F"/>
    <w:rsid w:val="64247312"/>
    <w:rsid w:val="647A6320"/>
    <w:rsid w:val="6496645F"/>
    <w:rsid w:val="64C566AA"/>
    <w:rsid w:val="64DF4AEB"/>
    <w:rsid w:val="658D1E73"/>
    <w:rsid w:val="65DD0AAC"/>
    <w:rsid w:val="66060652"/>
    <w:rsid w:val="661A6B12"/>
    <w:rsid w:val="664461FF"/>
    <w:rsid w:val="66F9C008"/>
    <w:rsid w:val="670D6FF1"/>
    <w:rsid w:val="672542C6"/>
    <w:rsid w:val="67EE6D1D"/>
    <w:rsid w:val="685E45AC"/>
    <w:rsid w:val="68C521E7"/>
    <w:rsid w:val="69C3636B"/>
    <w:rsid w:val="69FD04DC"/>
    <w:rsid w:val="6A0E1E76"/>
    <w:rsid w:val="6AE10A20"/>
    <w:rsid w:val="6BAD6047"/>
    <w:rsid w:val="6BDB0A81"/>
    <w:rsid w:val="6BFCA0C7"/>
    <w:rsid w:val="6BFD2F83"/>
    <w:rsid w:val="6C4C4578"/>
    <w:rsid w:val="6C5B781B"/>
    <w:rsid w:val="6CC6044A"/>
    <w:rsid w:val="6D2278ED"/>
    <w:rsid w:val="6D301F46"/>
    <w:rsid w:val="6D435AAE"/>
    <w:rsid w:val="6E6B4210"/>
    <w:rsid w:val="6EBFA756"/>
    <w:rsid w:val="6EC5724B"/>
    <w:rsid w:val="6ED82A91"/>
    <w:rsid w:val="6F0A2684"/>
    <w:rsid w:val="6F20702E"/>
    <w:rsid w:val="6F655BE0"/>
    <w:rsid w:val="71611D07"/>
    <w:rsid w:val="716D0F26"/>
    <w:rsid w:val="71703B03"/>
    <w:rsid w:val="72763662"/>
    <w:rsid w:val="72A0381E"/>
    <w:rsid w:val="72EF5082"/>
    <w:rsid w:val="734D7E98"/>
    <w:rsid w:val="744A6649"/>
    <w:rsid w:val="74B30A1E"/>
    <w:rsid w:val="74B87D09"/>
    <w:rsid w:val="752714C3"/>
    <w:rsid w:val="76BFC2E9"/>
    <w:rsid w:val="772060F5"/>
    <w:rsid w:val="772149A5"/>
    <w:rsid w:val="77620E5B"/>
    <w:rsid w:val="777FD146"/>
    <w:rsid w:val="77CD7F2C"/>
    <w:rsid w:val="77FDF949"/>
    <w:rsid w:val="77FF3DBC"/>
    <w:rsid w:val="77FFC7DD"/>
    <w:rsid w:val="781355AA"/>
    <w:rsid w:val="781D7547"/>
    <w:rsid w:val="78347B11"/>
    <w:rsid w:val="788F0136"/>
    <w:rsid w:val="78CC43B3"/>
    <w:rsid w:val="79A2131D"/>
    <w:rsid w:val="7A2A24FB"/>
    <w:rsid w:val="7ABFC465"/>
    <w:rsid w:val="7AF44D0F"/>
    <w:rsid w:val="7B0A1B69"/>
    <w:rsid w:val="7B63580B"/>
    <w:rsid w:val="7B676453"/>
    <w:rsid w:val="7B6C17AE"/>
    <w:rsid w:val="7BDB3A5F"/>
    <w:rsid w:val="7BF729D9"/>
    <w:rsid w:val="7BF889D6"/>
    <w:rsid w:val="7C0B1FD0"/>
    <w:rsid w:val="7C5A278F"/>
    <w:rsid w:val="7C6E9242"/>
    <w:rsid w:val="7C7F3010"/>
    <w:rsid w:val="7D0B294A"/>
    <w:rsid w:val="7D3A3D75"/>
    <w:rsid w:val="7D5052A6"/>
    <w:rsid w:val="7D69301C"/>
    <w:rsid w:val="7DDBCBD8"/>
    <w:rsid w:val="7DE63248"/>
    <w:rsid w:val="7DE9E0A6"/>
    <w:rsid w:val="7DF64195"/>
    <w:rsid w:val="7DFD36F9"/>
    <w:rsid w:val="7E2F794C"/>
    <w:rsid w:val="7E7EDB53"/>
    <w:rsid w:val="7EA91E0F"/>
    <w:rsid w:val="7EAD66BB"/>
    <w:rsid w:val="7EDF7DCE"/>
    <w:rsid w:val="7EFB30A9"/>
    <w:rsid w:val="7F1D4BA1"/>
    <w:rsid w:val="7F51026F"/>
    <w:rsid w:val="7F57A765"/>
    <w:rsid w:val="7F6F7A51"/>
    <w:rsid w:val="7F9CC8D4"/>
    <w:rsid w:val="7FA92BD3"/>
    <w:rsid w:val="7FADB04A"/>
    <w:rsid w:val="7FB95EED"/>
    <w:rsid w:val="7FBF1831"/>
    <w:rsid w:val="7FBFEC25"/>
    <w:rsid w:val="7FC32B2C"/>
    <w:rsid w:val="7FD24AEE"/>
    <w:rsid w:val="7FF35F83"/>
    <w:rsid w:val="7FFD338A"/>
    <w:rsid w:val="7FFDF5B7"/>
    <w:rsid w:val="87FDFE7A"/>
    <w:rsid w:val="88EF1061"/>
    <w:rsid w:val="8DD374AF"/>
    <w:rsid w:val="8FF9803D"/>
    <w:rsid w:val="95EEE778"/>
    <w:rsid w:val="96EF207A"/>
    <w:rsid w:val="9AAC1429"/>
    <w:rsid w:val="9ADFFAEF"/>
    <w:rsid w:val="9BF75509"/>
    <w:rsid w:val="9DFDCB97"/>
    <w:rsid w:val="9EFE2B47"/>
    <w:rsid w:val="AFB7CCF8"/>
    <w:rsid w:val="B0BB2648"/>
    <w:rsid w:val="B574A557"/>
    <w:rsid w:val="B5FF65A5"/>
    <w:rsid w:val="B6F9E10E"/>
    <w:rsid w:val="BAF73CFA"/>
    <w:rsid w:val="BBD22EBA"/>
    <w:rsid w:val="BD3F8DC3"/>
    <w:rsid w:val="BD96C3E8"/>
    <w:rsid w:val="BE7F0A26"/>
    <w:rsid w:val="BF6C8974"/>
    <w:rsid w:val="BFDFE397"/>
    <w:rsid w:val="BFFF7FCC"/>
    <w:rsid w:val="BFFF8A7E"/>
    <w:rsid w:val="C73DB9B4"/>
    <w:rsid w:val="CBC79906"/>
    <w:rsid w:val="CDBF3E4D"/>
    <w:rsid w:val="CE5FFF0E"/>
    <w:rsid w:val="CEFBFC6B"/>
    <w:rsid w:val="CF6D3AC9"/>
    <w:rsid w:val="D36FFA1A"/>
    <w:rsid w:val="D39B8E62"/>
    <w:rsid w:val="D4BF99E2"/>
    <w:rsid w:val="D67F44F1"/>
    <w:rsid w:val="D6BF078C"/>
    <w:rsid w:val="D77B9205"/>
    <w:rsid w:val="D7D522C8"/>
    <w:rsid w:val="DA6F7F2C"/>
    <w:rsid w:val="DAAF3A4C"/>
    <w:rsid w:val="DCFE86E2"/>
    <w:rsid w:val="DDFD9940"/>
    <w:rsid w:val="DDFEEA15"/>
    <w:rsid w:val="DDFF17C9"/>
    <w:rsid w:val="DE99C085"/>
    <w:rsid w:val="DECF3D5E"/>
    <w:rsid w:val="DED6581B"/>
    <w:rsid w:val="DF7A99D1"/>
    <w:rsid w:val="DF7F3865"/>
    <w:rsid w:val="DF87BFE1"/>
    <w:rsid w:val="DF9C763B"/>
    <w:rsid w:val="DFDFEC4C"/>
    <w:rsid w:val="DFFBE394"/>
    <w:rsid w:val="E37FE1F1"/>
    <w:rsid w:val="E3AF2A9C"/>
    <w:rsid w:val="E3DDF33E"/>
    <w:rsid w:val="E5D7BE56"/>
    <w:rsid w:val="E66D287A"/>
    <w:rsid w:val="E7FB23B1"/>
    <w:rsid w:val="EB73C5DA"/>
    <w:rsid w:val="EBFF2C1E"/>
    <w:rsid w:val="EF5F6D90"/>
    <w:rsid w:val="EFEB1A1A"/>
    <w:rsid w:val="EFF900EB"/>
    <w:rsid w:val="F0FD8490"/>
    <w:rsid w:val="F27F5241"/>
    <w:rsid w:val="F2BD5D93"/>
    <w:rsid w:val="F4BB1332"/>
    <w:rsid w:val="F4C8DE50"/>
    <w:rsid w:val="F5EE6AE7"/>
    <w:rsid w:val="F6CE6ED2"/>
    <w:rsid w:val="F6EDFCB6"/>
    <w:rsid w:val="F6FEB6B7"/>
    <w:rsid w:val="F74F78E3"/>
    <w:rsid w:val="F76FB4EB"/>
    <w:rsid w:val="F77AC401"/>
    <w:rsid w:val="F7E7E6C5"/>
    <w:rsid w:val="F7F1C683"/>
    <w:rsid w:val="F8FED631"/>
    <w:rsid w:val="FBB7A475"/>
    <w:rsid w:val="FBE3554D"/>
    <w:rsid w:val="FBFB3A55"/>
    <w:rsid w:val="FBFF2454"/>
    <w:rsid w:val="FC6B98A5"/>
    <w:rsid w:val="FCFDB874"/>
    <w:rsid w:val="FD3FA456"/>
    <w:rsid w:val="FD5DF056"/>
    <w:rsid w:val="FD6F3021"/>
    <w:rsid w:val="FD6F3AD6"/>
    <w:rsid w:val="FD7F18A4"/>
    <w:rsid w:val="FDFD3FD9"/>
    <w:rsid w:val="FDFF8E70"/>
    <w:rsid w:val="FDFFE61B"/>
    <w:rsid w:val="FE3F2262"/>
    <w:rsid w:val="FE5DFB55"/>
    <w:rsid w:val="FEBFC255"/>
    <w:rsid w:val="FEED3665"/>
    <w:rsid w:val="FEFCA4DC"/>
    <w:rsid w:val="FF358AF1"/>
    <w:rsid w:val="FF454A72"/>
    <w:rsid w:val="FF9A7E0A"/>
    <w:rsid w:val="FFBAC999"/>
    <w:rsid w:val="FFFE0A58"/>
    <w:rsid w:val="FFFF1548"/>
    <w:rsid w:val="FFFF5E8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qFormat="1" w:unhideWhenUsed="0" w:uiPriority="0" w:semiHidden="0" w:name="Salutation"/>
    <w:lsdException w:qFormat="1" w:unhideWhenUsed="0"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locked/>
    <w:uiPriority w:val="0"/>
    <w:pPr>
      <w:keepNext/>
      <w:keepLines/>
      <w:spacing w:beforeLines="0" w:beforeAutospacing="0" w:afterLines="0" w:afterAutospacing="0" w:line="578" w:lineRule="exact"/>
      <w:ind w:firstLine="640" w:firstLineChars="200"/>
      <w:outlineLvl w:val="0"/>
    </w:pPr>
    <w:rPr>
      <w:rFonts w:eastAsia="黑体"/>
      <w:kern w:val="44"/>
      <w:sz w:val="32"/>
    </w:rPr>
  </w:style>
  <w:style w:type="paragraph" w:styleId="4">
    <w:name w:val="heading 2"/>
    <w:basedOn w:val="1"/>
    <w:next w:val="1"/>
    <w:unhideWhenUsed/>
    <w:qFormat/>
    <w:locked/>
    <w:uiPriority w:val="0"/>
    <w:pPr>
      <w:keepNext/>
      <w:keepLines/>
      <w:spacing w:beforeLines="0" w:beforeAutospacing="0" w:afterLines="0" w:afterAutospacing="0" w:line="578" w:lineRule="exact"/>
      <w:ind w:firstLine="640" w:firstLineChars="200"/>
      <w:outlineLvl w:val="1"/>
    </w:pPr>
    <w:rPr>
      <w:rFonts w:ascii="Arial" w:hAnsi="Arial" w:eastAsia="楷体_GB2312"/>
      <w:sz w:val="32"/>
    </w:rPr>
  </w:style>
  <w:style w:type="paragraph" w:styleId="2">
    <w:name w:val="heading 3"/>
    <w:basedOn w:val="1"/>
    <w:next w:val="1"/>
    <w:qFormat/>
    <w:locked/>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Salutation"/>
    <w:basedOn w:val="1"/>
    <w:next w:val="1"/>
    <w:qFormat/>
    <w:uiPriority w:val="0"/>
  </w:style>
  <w:style w:type="paragraph" w:styleId="6">
    <w:name w:val="Date"/>
    <w:basedOn w:val="1"/>
    <w:next w:val="1"/>
    <w:link w:val="19"/>
    <w:semiHidden/>
    <w:qFormat/>
    <w:uiPriority w:val="99"/>
    <w:pPr>
      <w:ind w:left="100" w:leftChars="2500"/>
    </w:pPr>
  </w:style>
  <w:style w:type="paragraph" w:styleId="7">
    <w:name w:val="Balloon Text"/>
    <w:basedOn w:val="1"/>
    <w:link w:val="22"/>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locked/>
    <w:uiPriority w:val="0"/>
  </w:style>
  <w:style w:type="paragraph" w:styleId="11">
    <w:name w:val="toc 2"/>
    <w:basedOn w:val="1"/>
    <w:next w:val="1"/>
    <w:qFormat/>
    <w:locked/>
    <w:uiPriority w:val="0"/>
    <w:pPr>
      <w:ind w:left="420" w:leftChars="200"/>
    </w:pPr>
  </w:style>
  <w:style w:type="paragraph" w:styleId="1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4">
    <w:name w:val="Table Grid"/>
    <w:basedOn w:val="1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99"/>
  </w:style>
  <w:style w:type="paragraph" w:customStyle="1" w:styleId="17">
    <w:name w:val="List Paragraph"/>
    <w:basedOn w:val="1"/>
    <w:qFormat/>
    <w:uiPriority w:val="99"/>
    <w:pPr>
      <w:ind w:firstLine="420" w:firstLineChars="200"/>
    </w:pPr>
  </w:style>
  <w:style w:type="paragraph" w:customStyle="1" w:styleId="1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9">
    <w:name w:val="日期 Char"/>
    <w:basedOn w:val="15"/>
    <w:link w:val="6"/>
    <w:semiHidden/>
    <w:qFormat/>
    <w:locked/>
    <w:uiPriority w:val="99"/>
  </w:style>
  <w:style w:type="character" w:customStyle="1" w:styleId="20">
    <w:name w:val="页眉 Char"/>
    <w:basedOn w:val="15"/>
    <w:link w:val="9"/>
    <w:semiHidden/>
    <w:qFormat/>
    <w:locked/>
    <w:uiPriority w:val="99"/>
    <w:rPr>
      <w:sz w:val="18"/>
      <w:szCs w:val="18"/>
    </w:rPr>
  </w:style>
  <w:style w:type="character" w:customStyle="1" w:styleId="21">
    <w:name w:val="页脚 Char"/>
    <w:basedOn w:val="15"/>
    <w:link w:val="8"/>
    <w:qFormat/>
    <w:locked/>
    <w:uiPriority w:val="99"/>
    <w:rPr>
      <w:sz w:val="18"/>
      <w:szCs w:val="18"/>
    </w:rPr>
  </w:style>
  <w:style w:type="character" w:customStyle="1" w:styleId="22">
    <w:name w:val="批注框文本 Char"/>
    <w:basedOn w:val="15"/>
    <w:link w:val="7"/>
    <w:semiHidden/>
    <w:qFormat/>
    <w:locked/>
    <w:uiPriority w:val="99"/>
    <w:rPr>
      <w:sz w:val="18"/>
      <w:szCs w:val="18"/>
    </w:rPr>
  </w:style>
  <w:style w:type="paragraph" w:customStyle="1" w:styleId="23">
    <w:name w:val="WPSOffice手动目录 1"/>
    <w:qFormat/>
    <w:uiPriority w:val="0"/>
    <w:pPr>
      <w:ind w:leftChars="0"/>
    </w:pPr>
    <w:rPr>
      <w:rFonts w:ascii="Calibri" w:hAnsi="Calibri" w:eastAsia="宋体" w:cs="Times New Roman"/>
      <w:sz w:val="20"/>
      <w:szCs w:val="20"/>
    </w:rPr>
  </w:style>
  <w:style w:type="paragraph" w:customStyle="1" w:styleId="24">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81" textRotate="1"/>
    <customShpInfo spid="_x0000_s3082" textRotate="1"/>
    <customShpInfo spid="_x0000_s207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2719</Words>
  <Characters>2692</Characters>
  <Lines>22</Lines>
  <Paragraphs>10</Paragraphs>
  <TotalTime>4</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2020-12-08T11:06:00Z</dcterms:created>
  <dc:creator>lenovo</dc:creator>
  <cp:lastModifiedBy>李长吉</cp:lastModifiedBy>
  <cp:lastPrinted>2025-01-22T21:41:00Z</cp:lastPrinted>
  <dcterms:modified xsi:type="dcterms:W3CDTF">2025-01-22T08:24:23Z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