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8" w:lineRule="exact"/>
        <w:ind w:left="0"/>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s="黑体"/>
          <w:color w:val="auto"/>
          <w:sz w:val="48"/>
          <w:szCs w:val="48"/>
        </w:rPr>
      </w:pPr>
      <w:r>
        <w:rPr>
          <w:rFonts w:ascii="黑体" w:hAnsi="黑体" w:eastAsia="黑体" w:cs="黑体"/>
          <w:color w:val="auto"/>
          <w:sz w:val="48"/>
          <w:szCs w:val="48"/>
        </w:rPr>
        <w:t xml:space="preserve">     </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pStyle w:val="3"/>
        <w:numPr>
          <w:ilvl w:val="2"/>
          <w:numId w:val="0"/>
        </w:numPr>
        <w:ind w:leftChars="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val="en-US" w:eastAsia="zh-CN"/>
        </w:rPr>
        <w:t>2024年度</w:t>
      </w:r>
      <w:r>
        <w:rPr>
          <w:rFonts w:hint="eastAsia" w:ascii="方正小标宋_GBK" w:hAnsi="方正小标宋_GBK" w:eastAsia="方正小标宋_GBK" w:cs="方正小标宋_GBK"/>
          <w:b w:val="0"/>
          <w:bCs/>
          <w:color w:val="auto"/>
          <w:sz w:val="44"/>
          <w:szCs w:val="44"/>
        </w:rPr>
        <w:t>三亚市</w:t>
      </w:r>
      <w:r>
        <w:rPr>
          <w:rFonts w:hint="eastAsia" w:ascii="方正小标宋_GBK" w:hAnsi="方正小标宋_GBK" w:eastAsia="方正小标宋_GBK" w:cs="方正小标宋_GBK"/>
          <w:b w:val="0"/>
          <w:bCs/>
          <w:color w:val="auto"/>
          <w:sz w:val="44"/>
          <w:szCs w:val="44"/>
          <w:lang w:eastAsia="zh-CN"/>
        </w:rPr>
        <w:t>综合考核</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社会评价</w:t>
      </w:r>
      <w:r>
        <w:rPr>
          <w:rFonts w:hint="eastAsia" w:ascii="方正小标宋_GBK" w:hAnsi="方正小标宋_GBK" w:eastAsia="方正小标宋_GBK" w:cs="方正小标宋_GBK"/>
          <w:b w:val="0"/>
          <w:bCs/>
          <w:color w:val="auto"/>
          <w:sz w:val="44"/>
          <w:szCs w:val="44"/>
        </w:rPr>
        <w:t>调查</w:t>
      </w:r>
      <w:r>
        <w:rPr>
          <w:rFonts w:hint="eastAsia" w:ascii="方正小标宋_GBK" w:hAnsi="方正小标宋_GBK" w:eastAsia="方正小标宋_GBK" w:cs="方正小标宋_GBK"/>
          <w:b w:val="0"/>
          <w:bCs/>
          <w:color w:val="auto"/>
          <w:sz w:val="44"/>
          <w:szCs w:val="44"/>
          <w:lang w:eastAsia="zh-CN"/>
        </w:rPr>
        <w:t>方案</w:t>
      </w:r>
    </w:p>
    <w:p>
      <w:pPr>
        <w:pStyle w:val="3"/>
        <w:numPr>
          <w:ilvl w:val="2"/>
          <w:numId w:val="0"/>
        </w:num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napToGri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三亚市</w:t>
      </w:r>
      <w:r>
        <w:rPr>
          <w:rFonts w:hint="eastAsia" w:ascii="方正小标宋_GBK" w:hAnsi="方正小标宋_GBK" w:eastAsia="方正小标宋_GBK" w:cs="方正小标宋_GBK"/>
          <w:color w:val="auto"/>
          <w:sz w:val="36"/>
          <w:szCs w:val="36"/>
          <w:lang w:eastAsia="zh-CN"/>
        </w:rPr>
        <w:t>统计局</w:t>
      </w:r>
      <w:r>
        <w:rPr>
          <w:rFonts w:hint="eastAsia" w:ascii="方正小标宋_GBK" w:hAnsi="方正小标宋_GBK" w:eastAsia="方正小标宋_GBK" w:cs="方正小标宋_GBK"/>
          <w:color w:val="auto"/>
          <w:sz w:val="36"/>
          <w:szCs w:val="36"/>
          <w:lang w:val="en-US" w:eastAsia="zh-CN"/>
        </w:rPr>
        <w:t xml:space="preserve">  </w:t>
      </w:r>
      <w:r>
        <w:rPr>
          <w:rFonts w:hint="eastAsia" w:ascii="方正小标宋_GBK" w:hAnsi="方正小标宋_GBK" w:eastAsia="方正小标宋_GBK" w:cs="方正小标宋_GBK"/>
          <w:color w:val="auto"/>
          <w:sz w:val="36"/>
          <w:szCs w:val="36"/>
        </w:rPr>
        <w:t>制定</w:t>
      </w:r>
    </w:p>
    <w:p>
      <w:pPr>
        <w:keepNext w:val="0"/>
        <w:keepLines w:val="0"/>
        <w:pageBreakBefore w:val="0"/>
        <w:widowControl w:val="0"/>
        <w:kinsoku/>
        <w:wordWrap/>
        <w:overflowPunct/>
        <w:topLinePunct w:val="0"/>
        <w:autoSpaceDE/>
        <w:autoSpaceDN/>
        <w:bidi w:val="0"/>
        <w:adjustRightInd/>
        <w:snapToGrid/>
        <w:spacing w:line="578" w:lineRule="exact"/>
        <w:ind w:left="240"/>
        <w:jc w:val="center"/>
        <w:textAlignment w:val="auto"/>
        <w:rPr>
          <w:rFonts w:hint="eastAsia" w:ascii="方正小标宋_GBK" w:hAnsi="方正小标宋_GBK" w:eastAsia="方正小标宋_GBK" w:cs="方正小标宋_GBK"/>
          <w:color w:val="auto"/>
          <w:sz w:val="36"/>
          <w:szCs w:val="36"/>
        </w:rPr>
      </w:pPr>
      <w:r>
        <w:rPr>
          <w:rFonts w:hint="default" w:ascii="Times New Roman" w:hAnsi="Times New Roman" w:eastAsia="方正小标宋_GBK" w:cs="Times New Roman"/>
          <w:color w:val="auto"/>
          <w:sz w:val="32"/>
          <w:szCs w:val="32"/>
        </w:rPr>
        <w:t>202</w:t>
      </w:r>
      <w:r>
        <w:rPr>
          <w:rFonts w:hint="default" w:ascii="Times New Roman" w:hAnsi="Times New Roman" w:eastAsia="方正小标宋_GBK" w:cs="Times New Roman"/>
          <w:color w:val="auto"/>
          <w:sz w:val="32"/>
          <w:szCs w:val="32"/>
          <w:lang w:val="en-US" w:eastAsia="zh-CN"/>
        </w:rPr>
        <w:t>4</w:t>
      </w:r>
      <w:r>
        <w:rPr>
          <w:rFonts w:hint="eastAsia" w:ascii="方正小标宋_GBK" w:hAnsi="方正小标宋_GBK" w:eastAsia="方正小标宋_GBK" w:cs="方正小标宋_GBK"/>
          <w:color w:val="auto"/>
          <w:sz w:val="32"/>
          <w:szCs w:val="32"/>
        </w:rPr>
        <w:t>年</w:t>
      </w:r>
      <w:r>
        <w:rPr>
          <w:rFonts w:hint="default" w:ascii="Times New Roman" w:hAnsi="Times New Roman" w:eastAsia="方正小标宋_GBK" w:cs="Times New Roman"/>
          <w:color w:val="auto"/>
          <w:sz w:val="32"/>
          <w:szCs w:val="32"/>
          <w:lang w:val="en-US" w:eastAsia="zh-CN"/>
        </w:rPr>
        <w:t>1</w:t>
      </w:r>
      <w:r>
        <w:rPr>
          <w:rFonts w:hint="eastAsia" w:ascii="Times New Roman" w:hAnsi="Times New Roman" w:eastAsia="方正小标宋_GBK" w:cs="Times New Roman"/>
          <w:color w:val="auto"/>
          <w:sz w:val="32"/>
          <w:szCs w:val="32"/>
          <w:lang w:val="en-US" w:eastAsia="zh-CN"/>
        </w:rPr>
        <w:t>2</w:t>
      </w:r>
      <w:r>
        <w:rPr>
          <w:rFonts w:hint="eastAsia" w:ascii="方正小标宋_GBK" w:hAnsi="方正小标宋_GBK" w:eastAsia="方正小标宋_GBK" w:cs="方正小标宋_GBK"/>
          <w:color w:val="auto"/>
          <w:sz w:val="32"/>
          <w:szCs w:val="32"/>
        </w:rPr>
        <w:t>月</w:t>
      </w:r>
    </w:p>
    <w:p>
      <w:pPr>
        <w:keepNext w:val="0"/>
        <w:keepLines w:val="0"/>
        <w:pageBreakBefore w:val="0"/>
        <w:widowControl w:val="0"/>
        <w:kinsoku/>
        <w:wordWrap/>
        <w:overflowPunct/>
        <w:topLinePunct w:val="0"/>
        <w:autoSpaceDE/>
        <w:autoSpaceDN/>
        <w:bidi w:val="0"/>
        <w:adjustRightInd/>
        <w:snapToGrid/>
        <w:spacing w:line="578" w:lineRule="exact"/>
        <w:ind w:left="240"/>
        <w:textAlignment w:val="auto"/>
        <w:rPr>
          <w:rFonts w:hint="eastAsia" w:ascii="方正小标宋_GBK" w:hAnsi="方正小标宋_GBK" w:eastAsia="方正小标宋_GBK" w:cs="方正小标宋_GBK"/>
          <w:color w:val="auto"/>
          <w:sz w:val="36"/>
          <w:szCs w:val="36"/>
        </w:rPr>
        <w:sectPr>
          <w:headerReference r:id="rId3" w:type="default"/>
          <w:footerReference r:id="rId4" w:type="default"/>
          <w:pgSz w:w="11906" w:h="16838"/>
          <w:pgMar w:top="1417" w:right="1587" w:bottom="1417" w:left="1587" w:header="851" w:footer="992" w:gutter="0"/>
          <w:pgNumType w:fmt="decimal"/>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hint="eastAsia" w:ascii="黑体" w:hAnsi="黑体" w:eastAsia="黑体" w:cs="黑体"/>
          <w:color w:val="auto"/>
          <w:sz w:val="44"/>
          <w:szCs w:val="44"/>
        </w:rPr>
      </w:pPr>
      <w:r>
        <w:rPr>
          <w:rFonts w:ascii="方正仿宋_GBK" w:hAnsi="黑体" w:eastAsia="方正仿宋_GBK" w:cs="方正仿宋_GBK"/>
          <w:color w:val="auto"/>
          <w:sz w:val="32"/>
          <w:szCs w:val="32"/>
        </w:rPr>
        <w:t xml:space="preserve">                 </w:t>
      </w:r>
      <w:r>
        <w:rPr>
          <w:rFonts w:ascii="黑体" w:hAnsi="黑体" w:eastAsia="黑体" w:cs="黑体"/>
          <w:color w:val="auto"/>
          <w:sz w:val="44"/>
          <w:szCs w:val="44"/>
        </w:rPr>
        <w:t xml:space="preserve"> </w:t>
      </w:r>
      <w:r>
        <w:rPr>
          <w:rFonts w:hint="eastAsia" w:ascii="黑体" w:hAnsi="黑体" w:eastAsia="黑体" w:cs="黑体"/>
          <w:color w:val="auto"/>
          <w:sz w:val="44"/>
          <w:szCs w:val="44"/>
        </w:rPr>
        <w:t>目</w:t>
      </w:r>
      <w:r>
        <w:rPr>
          <w:rFonts w:ascii="黑体" w:hAnsi="黑体" w:eastAsia="黑体" w:cs="黑体"/>
          <w:color w:val="auto"/>
          <w:sz w:val="44"/>
          <w:szCs w:val="44"/>
        </w:rPr>
        <w:t xml:space="preserve">    </w:t>
      </w:r>
      <w:r>
        <w:rPr>
          <w:rFonts w:hint="eastAsia" w:ascii="黑体" w:hAnsi="黑体" w:eastAsia="黑体" w:cs="黑体"/>
          <w:color w:val="auto"/>
          <w:sz w:val="44"/>
          <w:szCs w:val="44"/>
        </w:rPr>
        <w:t>录</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eastAsia" w:ascii="黑体" w:hAnsi="黑体" w:eastAsia="黑体" w:cs="黑体"/>
          <w:color w:val="auto"/>
          <w:sz w:val="44"/>
          <w:szCs w:val="44"/>
        </w:rPr>
      </w:pP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一、方案依据</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二、方案内容</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（一）调查目的</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（二）考核对象</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（三）评价代表</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（四）调查方法</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（五）调查内容</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（六）调查样本总量及配额</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（七）调查时间</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4</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（八）评价等级及计分方法</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（九）组织实施</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（十）质量控制</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u w:val="dotted"/>
          <w:lang w:val="en-US" w:eastAsia="zh-CN"/>
        </w:rPr>
      </w:pPr>
      <w:r>
        <w:rPr>
          <w:rFonts w:hint="eastAsia" w:ascii="仿宋_GB2312" w:hAnsi="黑体" w:eastAsia="仿宋_GB2312" w:cs="仿宋_GB2312"/>
          <w:color w:val="auto"/>
          <w:sz w:val="32"/>
          <w:szCs w:val="32"/>
          <w:lang w:eastAsia="zh-CN"/>
        </w:rPr>
        <w:t>三、调查问卷</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u w:val="dotted"/>
          <w:lang w:val="en-US" w:eastAsia="zh-CN"/>
        </w:rPr>
        <w:t>8</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firstLine="1280" w:firstLineChars="4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附录</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13</w:t>
      </w: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630" w:leftChars="0" w:right="-288" w:rightChars="-137"/>
        <w:textAlignment w:val="auto"/>
        <w:rPr>
          <w:rFonts w:ascii="黑体" w:hAnsi="宋体" w:eastAsia="黑体"/>
          <w:color w:val="auto"/>
          <w:sz w:val="32"/>
          <w:szCs w:val="32"/>
        </w:rPr>
      </w:pPr>
      <w:r>
        <w:rPr>
          <w:rFonts w:hint="eastAsia" w:ascii="黑体" w:hAnsi="宋体" w:eastAsia="黑体" w:cs="黑体"/>
          <w:color w:val="auto"/>
          <w:sz w:val="32"/>
          <w:szCs w:val="32"/>
          <w:lang w:eastAsia="zh-CN"/>
        </w:rPr>
        <w:t>一、方案</w:t>
      </w:r>
      <w:r>
        <w:rPr>
          <w:rFonts w:hint="eastAsia" w:ascii="黑体" w:hAnsi="宋体" w:eastAsia="黑体" w:cs="黑体"/>
          <w:color w:val="auto"/>
          <w:sz w:val="32"/>
          <w:szCs w:val="32"/>
        </w:rPr>
        <w:t>依据</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0" w:name="_Toc257707948"/>
      <w:bookmarkStart w:id="1" w:name="_Toc247862118"/>
      <w:r>
        <w:rPr>
          <w:rFonts w:hint="eastAsia" w:ascii="Times New Roman" w:hAnsi="Times New Roman" w:eastAsia="仿宋_GB2312" w:cs="Times New Roman"/>
          <w:color w:val="auto"/>
          <w:sz w:val="32"/>
          <w:szCs w:val="32"/>
          <w:lang w:val="en-US" w:eastAsia="zh-CN"/>
        </w:rPr>
        <w:t>本方案根据《中共三亚市委办公室 三亚市人民政府办公室关于印发&lt;2024年度三亚市综合考核实施方案&gt;的通知》（三办字〔2024〕32号）要求，结合</w:t>
      </w:r>
      <w:r>
        <w:rPr>
          <w:rFonts w:hint="eastAsia" w:ascii="仿宋_GB2312" w:hAnsi="仿宋_GB2312" w:eastAsia="仿宋_GB2312" w:cs="仿宋_GB2312"/>
          <w:bCs/>
          <w:color w:val="auto"/>
          <w:sz w:val="32"/>
          <w:szCs w:val="32"/>
          <w:lang w:val="en-US" w:eastAsia="zh-CN"/>
        </w:rPr>
        <w:t>《2024年度海南省综合考核社会评价方案》和</w:t>
      </w:r>
      <w:r>
        <w:rPr>
          <w:rFonts w:hint="eastAsia" w:ascii="Times New Roman" w:hAnsi="Times New Roman" w:eastAsia="仿宋_GB2312" w:cs="Times New Roman"/>
          <w:color w:val="auto"/>
          <w:sz w:val="32"/>
          <w:szCs w:val="32"/>
          <w:lang w:val="en-US" w:eastAsia="zh-CN"/>
        </w:rPr>
        <w:t>《中华人民共和国统计法》的有关规定制订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eastAsia="zh-CN"/>
        </w:rPr>
        <w:t>方案内容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（一）调查目的</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为客观公正评价市直机关和区党委区政府的工作实效提供参考依据。通过开展综合考核社会评价活动，进一步突出考核重点、树立鲜明导向，提高党委政府部门工作精细化、科学化水平，充分发挥考核的引导、激励和约束作用。</w:t>
      </w:r>
    </w:p>
    <w:p>
      <w:pPr>
        <w:keepNext w:val="0"/>
        <w:keepLines w:val="0"/>
        <w:pageBreakBefore w:val="0"/>
        <w:widowControl w:val="0"/>
        <w:numPr>
          <w:ilvl w:val="0"/>
          <w:numId w:val="2"/>
        </w:numPr>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考核对象</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考核对象是三亚市各区委区政府、市直机关各单位及派出机构和中央、省驻市单位。详见附录</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（三）评价代表</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社会评价调查包括代表集中问卷评价和随机电话访问评价两部分。</w:t>
      </w:r>
    </w:p>
    <w:p>
      <w:pPr>
        <w:spacing w:line="600" w:lineRule="exact"/>
        <w:ind w:firstLine="640" w:firstLineChars="200"/>
        <w:rPr>
          <w:rFonts w:ascii="仿宋_GB2312" w:hAnsi="仿宋" w:eastAsia="仿宋_GB2312"/>
          <w:color w:val="auto"/>
          <w:sz w:val="32"/>
          <w:szCs w:val="32"/>
        </w:rPr>
      </w:pPr>
      <w:r>
        <w:rPr>
          <w:rFonts w:hint="eastAsia" w:ascii="Times New Roman" w:hAnsi="Times New Roman" w:eastAsia="仿宋_GB2312" w:cs="Times New Roman"/>
          <w:color w:val="auto"/>
          <w:sz w:val="32"/>
          <w:szCs w:val="32"/>
          <w:lang w:val="en-US" w:eastAsia="zh-CN"/>
        </w:rPr>
        <w:t>代表集中问卷评价的评价代表包括党代表、人大代表、政协委员、区（村）代表、部门代表（</w:t>
      </w:r>
      <w:r>
        <w:rPr>
          <w:rFonts w:hint="eastAsia" w:ascii="仿宋_GB2312" w:hAnsi="仿宋" w:eastAsia="仿宋_GB2312"/>
          <w:color w:val="auto"/>
          <w:sz w:val="32"/>
          <w:szCs w:val="32"/>
        </w:rPr>
        <w:t>纪委监委机关、“两办”、人大机关、政协机关、发改、营商、</w:t>
      </w:r>
      <w:r>
        <w:rPr>
          <w:rFonts w:hint="eastAsia" w:ascii="仿宋_GB2312" w:hAnsi="仿宋" w:eastAsia="仿宋_GB2312"/>
          <w:color w:val="auto"/>
          <w:sz w:val="32"/>
          <w:szCs w:val="32"/>
          <w:lang w:eastAsia="zh-CN"/>
        </w:rPr>
        <w:t>财政、</w:t>
      </w:r>
      <w:r>
        <w:rPr>
          <w:rFonts w:hint="eastAsia" w:ascii="仿宋_GB2312" w:hAnsi="仿宋" w:eastAsia="仿宋_GB2312"/>
          <w:color w:val="auto"/>
          <w:sz w:val="32"/>
          <w:szCs w:val="32"/>
        </w:rPr>
        <w:t>审计、统计）五类。</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Times New Roman" w:hAnsi="Times New Roman" w:eastAsia="仿宋_GB2312" w:cs="Times New Roman"/>
          <w:color w:val="auto"/>
          <w:sz w:val="32"/>
          <w:szCs w:val="32"/>
          <w:lang w:val="en-US" w:eastAsia="zh-CN"/>
        </w:rPr>
        <w:t>随机电话访问评价的评价代表是三亚市内年满18周岁以上的人员。按身份分类为：被评价单位的管理对象和服务对象。通过电话访问调查分别对应完成《2024年度三亚市直机关综合考核社会评价调查问卷》和《2024年度三亚市区委区政府综合考核社会评价调查问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（四）调查方法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分为代表集中问卷评价和随机电话访问评价两部分，各占社会评价综合得分的50%。代表集中问卷评价对象从指定部门提供的名册中随机抽取，进行集中面访调查并填写问卷；随机电话访问评价的管理对象和服务对象从各被评单位提供的名册中随机抽取，采用第三方电话调查机构进行访问调查。</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（五）调查内容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市直机关主要围绕作风建设、履职尽责、能力建设、为民服务、制度创新、廉洁自律6个方面的内容开展评价。对区党委、区政府主要围绕作风建设、履职尽责、为民服务、依法行政、基础设施建设、营商环境、环境保护、乡村振兴、党风廉政建设、平安建设等10个方面内容开展评价。详见调查问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（六）调查样本总量及配额</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color w:val="auto"/>
          <w:lang w:val="en-US" w:eastAsia="zh-CN"/>
        </w:rPr>
      </w:pPr>
      <w:r>
        <w:rPr>
          <w:rFonts w:hint="eastAsia" w:ascii="Times New Roman" w:hAnsi="Times New Roman" w:eastAsia="仿宋_GB2312" w:cs="Times New Roman"/>
          <w:color w:val="auto"/>
          <w:sz w:val="32"/>
          <w:szCs w:val="32"/>
          <w:lang w:val="en-US" w:eastAsia="zh-CN"/>
        </w:rPr>
        <w:t>84个被评单位合计抽取8800个以上样本作为调查对象，完成有效样本量不低于8800。每个被</w:t>
      </w:r>
      <w:r>
        <w:rPr>
          <w:rFonts w:hint="eastAsia" w:ascii="仿宋_GB2312" w:hAnsi="仿宋_GB2312" w:eastAsia="仿宋_GB2312" w:cs="仿宋_GB2312"/>
          <w:color w:val="auto"/>
          <w:sz w:val="32"/>
          <w:szCs w:val="32"/>
          <w:lang w:val="en-US" w:eastAsia="zh-CN"/>
        </w:rPr>
        <w:t>评单位分别完成代表集中问卷评价和随机电话访问评价样本配额（见下表）。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调查样本配额表</w:t>
      </w:r>
    </w:p>
    <w:tbl>
      <w:tblPr>
        <w:tblStyle w:val="9"/>
        <w:tblW w:w="9550"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800"/>
        <w:gridCol w:w="883"/>
        <w:gridCol w:w="700"/>
        <w:gridCol w:w="750"/>
        <w:gridCol w:w="783"/>
        <w:gridCol w:w="850"/>
        <w:gridCol w:w="800"/>
        <w:gridCol w:w="101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0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评价代表</w:t>
            </w:r>
          </w:p>
        </w:tc>
        <w:tc>
          <w:tcPr>
            <w:tcW w:w="8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样本总量</w:t>
            </w:r>
          </w:p>
        </w:tc>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被评价单位数量</w:t>
            </w:r>
          </w:p>
        </w:tc>
        <w:tc>
          <w:tcPr>
            <w:tcW w:w="3883" w:type="dxa"/>
            <w:gridSpan w:val="5"/>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代表集中问卷评价样本</w:t>
            </w:r>
          </w:p>
        </w:tc>
        <w:tc>
          <w:tcPr>
            <w:tcW w:w="1917"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随机电话访问评价样本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0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8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党代表</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人大</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代表</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政协</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委员</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区（村）</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代表</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部门代表</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管理对象（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权重30%）</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服务对象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（权重70%）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7"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党群、人大政协等机关及其他部门</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4400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9</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17</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7"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政府工作部门、派出机构</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3400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9</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17</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06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中央、省驻市单位</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9</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17</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06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区党委、区政府</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12</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47</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6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合计</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8800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楷体_GBK" w:hAnsi="方正楷体_GBK" w:eastAsia="方正楷体_GBK" w:cs="方正楷体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（七）调查时间</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本次社会评价工作开展时间为2024年</w:t>
      </w:r>
      <w:r>
        <w:rPr>
          <w:rFonts w:hint="default" w:ascii="Times New Roman" w:hAnsi="Times New Roman" w:eastAsia="仿宋_GB2312" w:cs="Times New Roman"/>
          <w:sz w:val="32"/>
          <w:szCs w:val="32"/>
          <w:lang w:val="en" w:eastAsia="zh-CN"/>
        </w:rPr>
        <w:t>12</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12</w:t>
      </w:r>
      <w:r>
        <w:rPr>
          <w:rFonts w:hint="eastAsia" w:ascii="Times New Roman" w:hAnsi="Times New Roman" w:eastAsia="仿宋_GB2312" w:cs="Times New Roman"/>
          <w:sz w:val="32"/>
          <w:szCs w:val="32"/>
          <w:lang w:val="en-US" w:eastAsia="zh-CN"/>
        </w:rPr>
        <w:t>日至2025年2月15日，具体安排如下：</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准备工作（</w:t>
      </w:r>
      <w:r>
        <w:rPr>
          <w:rFonts w:hint="default" w:ascii="Times New Roman" w:hAnsi="Times New Roman" w:eastAsia="方正仿宋_GBK" w:cs="Times New Roman"/>
          <w:b w:val="0"/>
          <w:bCs w:val="0"/>
          <w:sz w:val="32"/>
          <w:szCs w:val="32"/>
          <w:lang w:val="en-US" w:eastAsia="zh-CN"/>
        </w:rPr>
        <w:t>2024</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CN"/>
        </w:rPr>
        <w:t>日</w:t>
      </w:r>
      <w:r>
        <w:rPr>
          <w:rFonts w:hint="default" w:ascii="Times New Roman" w:hAnsi="Times New Roman" w:eastAsia="方正仿宋_GBK" w:cs="Times New Roman"/>
          <w:b w:val="0"/>
          <w:bCs w:val="0"/>
          <w:sz w:val="32"/>
          <w:szCs w:val="32"/>
          <w:lang w:val="en-US" w:eastAsia="zh-CN"/>
        </w:rPr>
        <w:t>—20</w:t>
      </w:r>
      <w:r>
        <w:rPr>
          <w:rFonts w:hint="eastAsia" w:ascii="Times New Roman" w:hAnsi="Times New Roman" w:eastAsia="方正仿宋_GBK"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方正仿宋_GBK" w:cs="Times New Roman"/>
          <w:b w:val="0"/>
          <w:bCs w:val="0"/>
          <w:sz w:val="32"/>
          <w:szCs w:val="32"/>
          <w:lang w:val="en" w:eastAsia="zh-CN"/>
        </w:rPr>
        <w:t>15</w:t>
      </w:r>
      <w:r>
        <w:rPr>
          <w:rFonts w:hint="default" w:ascii="Times New Roman" w:hAnsi="Times New Roman" w:eastAsia="仿宋_GB2312" w:cs="Times New Roman"/>
          <w:b w:val="0"/>
          <w:bCs w:val="0"/>
          <w:sz w:val="32"/>
          <w:szCs w:val="32"/>
          <w:lang w:val="en-US" w:eastAsia="zh-CN"/>
        </w:rPr>
        <w:t>日</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起草《2024年度三亚市综合考核社会评价调查方案》报海南省统计局审批。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报送评价</w:t>
      </w:r>
      <w:r>
        <w:rPr>
          <w:rFonts w:hint="eastAsia" w:ascii="方正仿宋_GBK" w:hAnsi="方正仿宋_GBK" w:eastAsia="方正仿宋_GBK" w:cs="方正仿宋_GBK"/>
          <w:b w:val="0"/>
          <w:bCs w:val="0"/>
          <w:sz w:val="32"/>
          <w:szCs w:val="32"/>
        </w:rPr>
        <w:t>材料</w:t>
      </w:r>
      <w:r>
        <w:rPr>
          <w:rFonts w:hint="eastAsia" w:ascii="Times New Roman" w:hAnsi="Times New Roman" w:eastAsia="方正仿宋_GBK" w:cs="Times New Roman"/>
          <w:b w:val="0"/>
          <w:bCs w:val="0"/>
          <w:sz w:val="32"/>
          <w:szCs w:val="32"/>
          <w:lang w:val="en-US" w:eastAsia="zh-CN"/>
        </w:rPr>
        <w:t>（2025年1月</w:t>
      </w:r>
      <w:r>
        <w:rPr>
          <w:rFonts w:hint="default" w:ascii="Times New Roman" w:hAnsi="Times New Roman" w:eastAsia="方正仿宋_GBK" w:cs="Times New Roman"/>
          <w:b w:val="0"/>
          <w:bCs w:val="0"/>
          <w:sz w:val="32"/>
          <w:szCs w:val="32"/>
          <w:lang w:val="en" w:eastAsia="zh-CN"/>
        </w:rPr>
        <w:t>17</w:t>
      </w:r>
      <w:r>
        <w:rPr>
          <w:rFonts w:hint="eastAsia" w:ascii="Times New Roman" w:hAnsi="Times New Roman" w:eastAsia="方正仿宋_GBK" w:cs="Times New Roman"/>
          <w:b w:val="0"/>
          <w:bCs w:val="0"/>
          <w:sz w:val="32"/>
          <w:szCs w:val="32"/>
          <w:lang w:val="en-US" w:eastAsia="zh-CN"/>
        </w:rPr>
        <w:t>日前报送）</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（1）提供参阅材料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被评单位要围绕社会评价内容（市直机关共6个方面，区党委、区政府共10个方面）开展2024年工作情况总结（总结1200字内，要求必须领导把关，并加盖单位公章），以WORD文档格式打印</w:t>
      </w:r>
      <w:r>
        <w:rPr>
          <w:rFonts w:hint="default" w:ascii="Times New Roman" w:hAnsi="Times New Roman" w:eastAsia="仿宋_GB2312" w:cs="Times New Roman"/>
          <w:sz w:val="32"/>
          <w:szCs w:val="32"/>
          <w:lang w:val="en" w:eastAsia="zh-CN"/>
        </w:rPr>
        <w:t>50</w:t>
      </w:r>
      <w:r>
        <w:rPr>
          <w:rFonts w:hint="eastAsia" w:ascii="Times New Roman" w:hAnsi="Times New Roman" w:eastAsia="仿宋_GB2312" w:cs="Times New Roman"/>
          <w:sz w:val="32"/>
          <w:szCs w:val="32"/>
          <w:lang w:val="en-US" w:eastAsia="zh-CN"/>
        </w:rPr>
        <w:t>份报送至政府二办四楼市统计局，供集中问卷评价代表参阅。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（2）提供电话号码样本库</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被评单位必须提供本单位系统全部管理对象、服务对象电话号码样本库（仅手机号码），内容栏目包括序号、手机号码、所属单位、所属区域、管理对象/服务对象共5项栏目内容。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提供的管理对象电话号码样本库是指本单位及系统内单位2024年所有在岗在编人员手机号码；服务对象电话号码样本库是指各被评单位从政务服务窗口和管辖的服务对象提取2024年所有办事人员预留的手机号码。</w:t>
      </w:r>
    </w:p>
    <w:p>
      <w:pPr>
        <w:keepNext w:val="0"/>
        <w:keepLines w:val="0"/>
        <w:pageBreakBefore w:val="0"/>
        <w:widowControl w:val="0"/>
        <w:numPr>
          <w:ilvl w:val="0"/>
          <w:numId w:val="3"/>
        </w:numPr>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提供参加集中问卷评价代表名单</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a.市级代表。由市委组织部、市人大、市政协分别负责提供党代表、人大代表、政协委员各30名的姓名、单位、职务和手机号码，市统计局随机分别抽取党代表10名、人大代表8名、政协代表8名参加市直机关集中问卷代表评价；由</w:t>
      </w:r>
      <w:r>
        <w:rPr>
          <w:rFonts w:hint="eastAsia" w:ascii="仿宋_GB2312" w:hAnsi="仿宋" w:eastAsia="仿宋_GB2312"/>
          <w:color w:val="auto"/>
          <w:sz w:val="32"/>
          <w:szCs w:val="32"/>
        </w:rPr>
        <w:t>纪委监委机关、“两办”、人大机关、政协机关、发改、营商、</w:t>
      </w:r>
      <w:r>
        <w:rPr>
          <w:rFonts w:hint="eastAsia" w:ascii="仿宋_GB2312" w:hAnsi="仿宋" w:eastAsia="仿宋_GB2312"/>
          <w:color w:val="auto"/>
          <w:sz w:val="32"/>
          <w:szCs w:val="32"/>
          <w:lang w:eastAsia="zh-CN"/>
        </w:rPr>
        <w:t>财政、</w:t>
      </w:r>
      <w:r>
        <w:rPr>
          <w:rFonts w:hint="eastAsia" w:ascii="仿宋_GB2312" w:hAnsi="仿宋" w:eastAsia="仿宋_GB2312"/>
          <w:color w:val="auto"/>
          <w:sz w:val="32"/>
          <w:szCs w:val="32"/>
        </w:rPr>
        <w:t>审计、统计</w:t>
      </w:r>
      <w:r>
        <w:rPr>
          <w:rFonts w:hint="eastAsia" w:ascii="仿宋_GB2312" w:hAnsi="仿宋" w:eastAsia="仿宋_GB2312"/>
          <w:color w:val="auto"/>
          <w:sz w:val="32"/>
          <w:szCs w:val="32"/>
          <w:lang w:eastAsia="zh-CN"/>
        </w:rPr>
        <w:t>各部门提供</w:t>
      </w:r>
      <w:r>
        <w:rPr>
          <w:rFonts w:hint="default" w:ascii="Times New Roman" w:hAnsi="Times New Roman" w:eastAsia="仿宋_GB2312" w:cs="Times New Roman"/>
          <w:color w:val="auto"/>
          <w:sz w:val="32"/>
          <w:szCs w:val="32"/>
          <w:lang w:val="en-US" w:eastAsia="zh-CN"/>
        </w:rPr>
        <w:t>1</w:t>
      </w:r>
      <w:r>
        <w:rPr>
          <w:rFonts w:hint="eastAsia" w:ascii="仿宋_GB2312" w:hAnsi="仿宋" w:eastAsia="仿宋_GB2312"/>
          <w:color w:val="auto"/>
          <w:sz w:val="32"/>
          <w:szCs w:val="32"/>
          <w:lang w:val="en-US" w:eastAsia="zh-CN"/>
        </w:rPr>
        <w:t>名部门代表</w:t>
      </w:r>
      <w:r>
        <w:rPr>
          <w:rFonts w:hint="eastAsia" w:ascii="Times New Roman" w:hAnsi="Times New Roman" w:eastAsia="仿宋_GB2312" w:cs="Times New Roman"/>
          <w:color w:val="auto"/>
          <w:sz w:val="32"/>
          <w:szCs w:val="32"/>
          <w:lang w:val="en-US" w:eastAsia="zh-CN"/>
        </w:rPr>
        <w:t>参加市直机关集中问卷代表评价；由各区办公室提供区（村）代表共9名参加市直机关集中问卷代表评价，其中天涯区2名，吉阳区2名，海棠区2名，崖州区2名，育才生态区管委会1名。</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b.区级代表。由各区委办负责收集提供本区党代表、人大代表、政协委员各30名的姓名、单位、职务和手机号码，市统计局随机分别抽取各类代表10名代表参加区委区政府集中问卷评价。由各区有关部门提供部门代表共12名参加区委区政府集中问卷代表评价，其中区</w:t>
      </w:r>
      <w:r>
        <w:rPr>
          <w:rFonts w:hint="eastAsia" w:ascii="仿宋_GB2312" w:hAnsi="仿宋" w:eastAsia="仿宋_GB2312"/>
          <w:color w:val="auto"/>
          <w:sz w:val="32"/>
          <w:szCs w:val="32"/>
        </w:rPr>
        <w:t>纪委监委</w:t>
      </w:r>
      <w:r>
        <w:rPr>
          <w:rFonts w:hint="default" w:ascii="Times New Roman" w:hAnsi="Times New Roman" w:eastAsia="仿宋_GB2312" w:cs="Times New Roman"/>
          <w:color w:val="auto"/>
          <w:sz w:val="32"/>
          <w:szCs w:val="32"/>
        </w:rPr>
        <w:t>机关</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区委办公室</w:t>
      </w:r>
      <w:r>
        <w:rPr>
          <w:rFonts w:hint="default" w:ascii="Times New Roman" w:hAnsi="Times New Roman" w:eastAsia="仿宋_GB2312" w:cs="Times New Roman"/>
          <w:color w:val="auto"/>
          <w:sz w:val="32"/>
          <w:szCs w:val="32"/>
          <w:lang w:val="en-US" w:eastAsia="zh-CN"/>
        </w:rPr>
        <w:t>1名、区政府办公室1名</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人大机关</w:t>
      </w:r>
      <w:r>
        <w:rPr>
          <w:rFonts w:hint="default" w:ascii="Times New Roman" w:hAnsi="Times New Roman" w:eastAsia="仿宋_GB2312" w:cs="Times New Roman"/>
          <w:color w:val="auto"/>
          <w:sz w:val="32"/>
          <w:szCs w:val="32"/>
          <w:lang w:val="en-US" w:eastAsia="zh-CN"/>
        </w:rPr>
        <w:t>2名</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政协机关</w:t>
      </w:r>
      <w:r>
        <w:rPr>
          <w:rFonts w:hint="default" w:ascii="Times New Roman" w:hAnsi="Times New Roman" w:eastAsia="仿宋_GB2312" w:cs="Times New Roman"/>
          <w:color w:val="auto"/>
          <w:sz w:val="32"/>
          <w:szCs w:val="32"/>
          <w:lang w:val="en-US" w:eastAsia="zh-CN"/>
        </w:rPr>
        <w:t>2名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营商</w:t>
      </w:r>
      <w:r>
        <w:rPr>
          <w:rFonts w:hint="default" w:ascii="Times New Roman" w:hAnsi="Times New Roman" w:eastAsia="仿宋_GB2312" w:cs="Times New Roman"/>
          <w:color w:val="auto"/>
          <w:sz w:val="32"/>
          <w:szCs w:val="32"/>
          <w:lang w:eastAsia="zh-CN"/>
        </w:rPr>
        <w:t>环境建设局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区财政局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审计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1名。</w:t>
      </w:r>
      <w:r>
        <w:rPr>
          <w:rFonts w:hint="eastAsia" w:ascii="Times New Roman" w:hAnsi="Times New Roman" w:eastAsia="仿宋_GB2312" w:cs="Times New Roman"/>
          <w:color w:val="auto"/>
          <w:sz w:val="32"/>
          <w:szCs w:val="32"/>
          <w:lang w:val="en-US" w:eastAsia="zh-CN"/>
        </w:rPr>
        <w:t>由区委组织部提供3名村代表参加区委区政府集中问卷代表评价。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各参评单位总结材料提供50份纸质版，电话号码样本库（Excel电子表格）、参加公开评价代表名单（Excel电子表格）报送至市统计局指定联络人OA邮箱（具体通知）。</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选聘第三方电话调查机构（</w:t>
      </w:r>
      <w:r>
        <w:rPr>
          <w:rFonts w:hint="default" w:ascii="Times New Roman" w:hAnsi="Times New Roman" w:eastAsia="方正仿宋_GBK" w:cs="Times New Roman"/>
          <w:b w:val="0"/>
          <w:bCs w:val="0"/>
          <w:sz w:val="32"/>
          <w:szCs w:val="32"/>
          <w:lang w:val="en-US" w:eastAsia="zh-CN"/>
        </w:rPr>
        <w:t>2025年1月</w:t>
      </w:r>
      <w:r>
        <w:rPr>
          <w:rFonts w:hint="default" w:ascii="Times New Roman" w:hAnsi="Times New Roman" w:eastAsia="方正仿宋_GBK" w:cs="Times New Roman"/>
          <w:b w:val="0"/>
          <w:bCs w:val="0"/>
          <w:sz w:val="32"/>
          <w:szCs w:val="32"/>
          <w:lang w:val="en" w:eastAsia="zh-CN"/>
        </w:rPr>
        <w:t>17</w:t>
      </w:r>
      <w:r>
        <w:rPr>
          <w:rFonts w:hint="default"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仿宋_GB2312" w:cs="Times New Roman"/>
          <w:sz w:val="32"/>
          <w:szCs w:val="32"/>
          <w:lang w:eastAsia="zh-CN"/>
        </w:rPr>
        <w:t>数据录入处理两项工作通过外包方式开展，按规定程序发布外包询价公告，最终确定调查机构。</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电话样本抽取</w:t>
      </w:r>
      <w:r>
        <w:rPr>
          <w:rFonts w:hint="eastAsia" w:ascii="Times New Roman" w:hAnsi="Times New Roman" w:eastAsia="方正仿宋_GBK" w:cs="Times New Roman"/>
          <w:b w:val="0"/>
          <w:bCs w:val="0"/>
          <w:color w:val="auto"/>
          <w:sz w:val="32"/>
          <w:szCs w:val="32"/>
          <w:lang w:val="en-US" w:eastAsia="zh-CN"/>
        </w:rPr>
        <w:t>（2025年1月1</w:t>
      </w:r>
      <w:r>
        <w:rPr>
          <w:rFonts w:hint="default" w:ascii="Times New Roman" w:hAnsi="Times New Roman" w:eastAsia="方正仿宋_GBK" w:cs="Times New Roman"/>
          <w:b w:val="0"/>
          <w:bCs w:val="0"/>
          <w:color w:val="auto"/>
          <w:sz w:val="32"/>
          <w:szCs w:val="32"/>
          <w:lang w:val="en" w:eastAsia="zh-CN"/>
        </w:rPr>
        <w:t>7</w:t>
      </w:r>
      <w:r>
        <w:rPr>
          <w:rFonts w:hint="eastAsia"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仿宋_GB2312" w:cs="Times New Roman"/>
          <w:color w:val="auto"/>
          <w:sz w:val="32"/>
          <w:szCs w:val="32"/>
          <w:lang w:val="en-US" w:eastAsia="zh-CN"/>
        </w:rPr>
        <w:t>随机电话访问评价</w:t>
      </w:r>
      <w:r>
        <w:rPr>
          <w:rFonts w:hint="eastAsia" w:ascii="仿宋_GB2312" w:hAnsi="仿宋_GB2312" w:eastAsia="仿宋_GB2312" w:cs="仿宋_GB2312"/>
          <w:color w:val="auto"/>
          <w:sz w:val="32"/>
          <w:szCs w:val="32"/>
          <w:lang w:val="en-US" w:eastAsia="zh-CN"/>
        </w:rPr>
        <w:t>管理对象和服务对象样本由市统计局根据被评单位报送的电话号码样本库中随机抽取，管理对象、服务对象电话样本库不能满足调查需要时，由社会公众电话号码样本库进行补充。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安排（2025年1月</w:t>
      </w:r>
      <w:r>
        <w:rPr>
          <w:rFonts w:hint="default" w:ascii="Times New Roman" w:hAnsi="Times New Roman" w:eastAsia="方正仿宋_GBK" w:cs="Times New Roman"/>
          <w:b w:val="0"/>
          <w:bCs w:val="0"/>
          <w:sz w:val="32"/>
          <w:szCs w:val="32"/>
          <w:lang w:val="en" w:eastAsia="zh-CN"/>
        </w:rPr>
        <w:t>25</w:t>
      </w:r>
      <w:r>
        <w:rPr>
          <w:rFonts w:hint="eastAsia"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（1）市直机关评价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集中评价时间安排：2025年1月</w:t>
      </w:r>
      <w:r>
        <w:rPr>
          <w:rFonts w:hint="default" w:ascii="Times New Roman" w:hAnsi="Times New Roman" w:eastAsia="方正仿宋_GBK" w:cs="Times New Roman"/>
          <w:b w:val="0"/>
          <w:bCs w:val="0"/>
          <w:sz w:val="32"/>
          <w:szCs w:val="32"/>
          <w:lang w:val="en" w:eastAsia="zh-CN"/>
        </w:rPr>
        <w:t>25</w:t>
      </w:r>
      <w:r>
        <w:rPr>
          <w:rFonts w:hint="eastAsia" w:ascii="Times New Roman" w:hAnsi="Times New Roman" w:eastAsia="方正仿宋_GBK" w:cs="Times New Roman"/>
          <w:b w:val="0"/>
          <w:bCs w:val="0"/>
          <w:sz w:val="32"/>
          <w:szCs w:val="32"/>
          <w:lang w:val="en-US" w:eastAsia="zh-CN"/>
        </w:rPr>
        <w:t>日前完成，地点在市统计局会议室（市政府第二办公楼4楼），市委组织部、市人大、市政协以及提供部门代表和区（村）的单位分别负责通知各抽选中的代表参会。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（2）区党委、区政府评价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集中评价时间安排：崖州区为2025年1月23日上午9:30至11:30；天涯区为2025年1月23日下午3:30至5:30；海棠区为2025年1月24日上午9:30至11:30，吉阳区为2025年1月24日下午3:30至5:30。各区要主动与市统计局做好工作对接，具体集中评价地点由各区负责安排，并负责通知本区抽选中的代表参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（2025年2月12日前完成）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按时间要求开展</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工作，对</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数据录入汇总，市统计局对</w:t>
      </w:r>
      <w:r>
        <w:rPr>
          <w:rFonts w:hint="eastAsia" w:ascii="Times New Roman" w:hAnsi="Times New Roman" w:eastAsia="仿宋_GB2312" w:cs="Times New Roman"/>
          <w:sz w:val="32"/>
          <w:szCs w:val="32"/>
          <w:lang w:val="en-US" w:eastAsia="zh-CN"/>
        </w:rPr>
        <w:t>随机电话访问评</w:t>
      </w:r>
      <w:r>
        <w:rPr>
          <w:rFonts w:hint="eastAsia" w:ascii="Times New Roman" w:hAnsi="Times New Roman" w:eastAsia="方正仿宋_GBK" w:cs="Times New Roman"/>
          <w:b w:val="0"/>
          <w:bCs w:val="0"/>
          <w:sz w:val="32"/>
          <w:szCs w:val="32"/>
          <w:lang w:val="en-US" w:eastAsia="zh-CN"/>
        </w:rPr>
        <w:t>数据和</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数据进行质量验收。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7.提交社会评价调查报告(2025年2月15日前完成）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市统计局对调查结果进行汇总分析，撰写调查分析报告提交市委督查考评办。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（八）</w:t>
      </w:r>
      <w:r>
        <w:rPr>
          <w:rFonts w:hint="eastAsia" w:ascii="方正楷体_GBK" w:hAnsi="方正楷体_GBK" w:eastAsia="方正楷体_GBK" w:cs="方正楷体_GBK"/>
          <w:color w:val="auto"/>
          <w:sz w:val="32"/>
          <w:szCs w:val="32"/>
        </w:rPr>
        <w:t>评价等级及计分方法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 w:eastAsia="仿宋_GB2312" w:cs="Times New Roman"/>
          <w:color w:val="auto"/>
          <w:sz w:val="32"/>
          <w:szCs w:val="32"/>
          <w:lang w:val="en-US" w:eastAsia="zh-CN"/>
        </w:rPr>
        <w:t>代表集中问卷评价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 w:eastAsia="仿宋_GB2312" w:cs="Times New Roman"/>
          <w:color w:val="auto"/>
          <w:sz w:val="32"/>
          <w:szCs w:val="32"/>
          <w:lang w:val="en-US" w:eastAsia="zh-CN"/>
        </w:rPr>
        <w:t>随机电话访问评价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color w:val="auto"/>
        </w:rPr>
      </w:pPr>
      <w:r>
        <w:rPr>
          <w:rFonts w:hint="default" w:ascii="Times New Roman" w:hAnsi="Times New Roman" w:eastAsia="仿宋_GB2312" w:cs="Times New Roman"/>
          <w:color w:val="auto"/>
          <w:sz w:val="32"/>
          <w:szCs w:val="32"/>
          <w:lang w:val="en-US" w:eastAsia="zh-CN"/>
        </w:rPr>
        <w:t>3.</w:t>
      </w:r>
      <w:r>
        <w:rPr>
          <w:rFonts w:hint="eastAsia" w:ascii="仿宋_GB2312" w:hAnsi="仿宋" w:eastAsia="仿宋_GB2312"/>
          <w:color w:val="auto"/>
          <w:sz w:val="32"/>
          <w:szCs w:val="32"/>
        </w:rPr>
        <w:t>社会评价综合得分：</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得分和</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得分均为各单题得分乘以相应权重后的总得分。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（九）</w:t>
      </w:r>
      <w:r>
        <w:rPr>
          <w:rFonts w:hint="eastAsia" w:ascii="方正楷体_GBK" w:hAnsi="方正楷体_GBK" w:eastAsia="方正楷体_GBK" w:cs="方正楷体_GBK"/>
          <w:color w:val="auto"/>
          <w:sz w:val="32"/>
          <w:szCs w:val="32"/>
        </w:rPr>
        <w:t>组织实施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本次评价工作由市统计局牵头组织实施，</w:t>
      </w:r>
      <w:r>
        <w:rPr>
          <w:rFonts w:hint="eastAsia" w:ascii="Times New Roman" w:hAnsi="Times New Roman" w:eastAsia="仿宋_GB2312" w:cs="Times New Roman"/>
          <w:color w:val="auto"/>
          <w:sz w:val="32"/>
          <w:szCs w:val="32"/>
          <w:lang w:eastAsia="zh-CN"/>
        </w:rPr>
        <w:t>并</w:t>
      </w:r>
      <w:r>
        <w:rPr>
          <w:rFonts w:ascii="Times New Roman" w:hAnsi="Times New Roman" w:eastAsia="仿宋_GB2312" w:cs="Times New Roman"/>
          <w:color w:val="auto"/>
          <w:sz w:val="32"/>
          <w:szCs w:val="32"/>
        </w:rPr>
        <w:t>负责具体工作</w:t>
      </w:r>
      <w:r>
        <w:rPr>
          <w:rFonts w:hint="eastAsia" w:ascii="Times New Roman" w:hAnsi="Times New Roman" w:eastAsia="仿宋_GB2312" w:cs="Times New Roman"/>
          <w:color w:val="auto"/>
          <w:sz w:val="32"/>
          <w:szCs w:val="32"/>
          <w:lang w:eastAsia="zh-CN"/>
        </w:rPr>
        <w:t>安排</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（十）</w:t>
      </w:r>
      <w:r>
        <w:rPr>
          <w:rFonts w:hint="eastAsia" w:ascii="方正楷体_GBK" w:hAnsi="方正楷体_GBK" w:eastAsia="方正楷体_GBK" w:cs="方正楷体_GBK"/>
          <w:color w:val="auto"/>
          <w:sz w:val="32"/>
          <w:szCs w:val="32"/>
        </w:rPr>
        <w:t>质量控制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 w:eastAsia="仿宋_GB2312"/>
          <w:color w:val="auto"/>
          <w:sz w:val="32"/>
          <w:szCs w:val="32"/>
        </w:rPr>
        <w:t>强化评价全过程监督管理。实施内部监督检查，</w:t>
      </w:r>
      <w:r>
        <w:rPr>
          <w:rFonts w:ascii="Times New Roman" w:hAnsi="Times New Roman" w:eastAsia="仿宋_GB2312" w:cs="Times New Roman"/>
          <w:color w:val="auto"/>
          <w:sz w:val="32"/>
          <w:szCs w:val="32"/>
        </w:rPr>
        <w:t>市统计局负责质量把关，正式开展</w:t>
      </w:r>
      <w:r>
        <w:rPr>
          <w:rFonts w:hint="eastAsia" w:ascii="Times New Roman" w:hAnsi="Times New Roman" w:eastAsia="仿宋_GB2312" w:cs="Times New Roman"/>
          <w:color w:val="auto"/>
          <w:sz w:val="32"/>
          <w:szCs w:val="32"/>
          <w:lang w:eastAsia="zh-CN"/>
        </w:rPr>
        <w:t>评价调查</w:t>
      </w:r>
      <w:r>
        <w:rPr>
          <w:rFonts w:ascii="Times New Roman" w:hAnsi="Times New Roman" w:eastAsia="仿宋_GB2312" w:cs="Times New Roman"/>
          <w:color w:val="auto"/>
          <w:sz w:val="32"/>
          <w:szCs w:val="32"/>
        </w:rPr>
        <w:t>期间</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评价调查</w:t>
      </w:r>
      <w:r>
        <w:rPr>
          <w:rFonts w:ascii="Times New Roman" w:hAnsi="Times New Roman" w:eastAsia="仿宋_GB2312" w:cs="Times New Roman"/>
          <w:color w:val="auto"/>
          <w:sz w:val="32"/>
          <w:szCs w:val="32"/>
        </w:rPr>
        <w:t>全程进行监督管理，安排督导员每天负责监督检查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电话访问调查采取全程录音归档</w:t>
      </w:r>
      <w:r>
        <w:rPr>
          <w:rFonts w:hint="eastAsia" w:ascii="Times New Roman" w:hAnsi="Times New Roman" w:eastAsia="仿宋_GB2312" w:cs="Times New Roman"/>
          <w:color w:val="auto"/>
          <w:sz w:val="32"/>
          <w:szCs w:val="32"/>
          <w:lang w:eastAsia="zh-CN"/>
        </w:rPr>
        <w:t>，做好数据质量审核验收</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2.统一培训调查员。要求受委托方对调查访问员按照统一规范要求进行培训，严格遵守调查访问纪律，确保调查结果的代表性。公开评价代表应围绕大局，进行客观公正，实事求是的评价。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3.强化信息保密管理。公开评价正式实施前，各有关单位应对参与公开评价的代表信息做好保密管理，评价代表对评价样本分配及评价结果保密。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lang w:val="en-US" w:eastAsia="zh-CN"/>
        </w:rPr>
        <w:t>调查问卷</w:t>
      </w:r>
    </w:p>
    <w:p>
      <w:pPr>
        <w:rPr>
          <w:rFonts w:hint="eastAsia"/>
          <w:color w:val="auto"/>
        </w:rPr>
        <w:sectPr>
          <w:footerReference r:id="rId5" w:type="default"/>
          <w:pgSz w:w="11906" w:h="16838"/>
          <w:pgMar w:top="1417" w:right="1587" w:bottom="1417" w:left="1587" w:header="851" w:footer="992" w:gutter="0"/>
          <w:pgNumType w:fmt="decimal" w:start="1"/>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rPr>
        <w:t>年度三亚市直机关综合考核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社会评价调查</w:t>
      </w:r>
      <w:r>
        <w:rPr>
          <w:rFonts w:hint="eastAsia" w:ascii="方正小标宋_GBK" w:hAnsi="方正小标宋_GBK" w:eastAsia="方正小标宋_GBK" w:cs="方正小标宋_GBK"/>
          <w:color w:val="auto"/>
          <w:sz w:val="40"/>
          <w:szCs w:val="40"/>
        </w:rPr>
        <w:t>问卷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jc w:val="both"/>
        <w:textAlignment w:val="auto"/>
        <w:rPr>
          <w:rFonts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420" w:firstLine="0" w:firstLineChars="0"/>
        <w:jc w:val="left"/>
        <w:textAlignment w:val="auto"/>
        <w:rPr>
          <w:rFonts w:hint="eastAsia" w:ascii="黑体" w:hAnsi="黑体" w:eastAsia="黑体" w:cs="黑体"/>
          <w:color w:val="auto"/>
          <w:sz w:val="21"/>
          <w:szCs w:val="21"/>
          <w:lang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21"/>
          <w:szCs w:val="21"/>
        </w:rPr>
        <w:t>制表机关</w:t>
      </w:r>
      <w:r>
        <w:rPr>
          <w:rFonts w:hint="eastAsia" w:ascii="黑体" w:hAnsi="黑体" w:eastAsia="黑体"/>
          <w:color w:val="auto"/>
          <w:sz w:val="21"/>
          <w:szCs w:val="21"/>
        </w:rPr>
        <w:t>：</w:t>
      </w:r>
      <w:r>
        <w:rPr>
          <w:rFonts w:hint="eastAsia" w:ascii="黑体" w:hAnsi="黑体" w:eastAsia="黑体"/>
          <w:color w:val="auto"/>
          <w:sz w:val="21"/>
          <w:szCs w:val="21"/>
          <w:lang w:eastAsia="zh-CN"/>
        </w:rPr>
        <w:t>三亚市统计局</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630" w:firstLine="0" w:firstLineChars="0"/>
        <w:jc w:val="left"/>
        <w:textAlignment w:val="auto"/>
        <w:rPr>
          <w:rFonts w:hint="eastAsia" w:ascii="黑体" w:hAnsi="黑体" w:eastAsia="黑体"/>
          <w:color w:val="auto"/>
          <w:sz w:val="21"/>
          <w:szCs w:val="21"/>
          <w:lang w:val="en-US" w:eastAsia="zh-CN"/>
        </w:rPr>
      </w:pPr>
      <w:r>
        <w:rPr>
          <w:rFonts w:hint="eastAsia" w:ascii="黑体" w:hAnsi="Calibri" w:eastAsia="黑体"/>
          <w:color w:val="auto"/>
          <w:sz w:val="21"/>
          <w:szCs w:val="21"/>
        </w:rPr>
        <w:t>　　　　　　　　　　　　　　　　　　　　　　</w:t>
      </w:r>
      <w:r>
        <w:rPr>
          <w:rFonts w:hint="eastAsia" w:ascii="黑体" w:hAnsi="Calibri" w:eastAsia="黑体"/>
          <w:color w:val="auto"/>
          <w:sz w:val="21"/>
          <w:szCs w:val="21"/>
          <w:lang w:val="en-US" w:eastAsia="zh-CN"/>
        </w:rPr>
        <w:t xml:space="preserve">    </w:t>
      </w:r>
      <w:r>
        <w:rPr>
          <w:rFonts w:hint="eastAsia" w:ascii="黑体" w:eastAsia="黑体"/>
          <w:color w:val="auto"/>
          <w:sz w:val="21"/>
          <w:szCs w:val="21"/>
          <w:lang w:val="en-US" w:eastAsia="zh-CN"/>
        </w:rPr>
        <w:t xml:space="preserve">     </w:t>
      </w:r>
      <w:r>
        <w:rPr>
          <w:rFonts w:hint="eastAsia" w:ascii="黑体" w:hAnsi="黑体" w:eastAsia="黑体" w:cs="黑体"/>
          <w:color w:val="auto"/>
          <w:sz w:val="21"/>
          <w:szCs w:val="21"/>
        </w:rPr>
        <w:t>批准</w:t>
      </w:r>
      <w:r>
        <w:rPr>
          <w:rFonts w:hint="eastAsia" w:ascii="黑体" w:hAnsi="黑体" w:eastAsia="黑体" w:cs="黑体"/>
          <w:color w:val="auto"/>
          <w:sz w:val="21"/>
          <w:szCs w:val="21"/>
          <w:lang w:eastAsia="zh-CN"/>
        </w:rPr>
        <w:t>机关</w:t>
      </w:r>
      <w:r>
        <w:rPr>
          <w:rFonts w:hint="eastAsia" w:ascii="黑体" w:hAnsi="黑体" w:eastAsia="黑体" w:cs="黑体"/>
          <w:color w:val="auto"/>
          <w:sz w:val="21"/>
          <w:szCs w:val="21"/>
        </w:rPr>
        <w:t>：</w:t>
      </w:r>
      <w:r>
        <w:rPr>
          <w:rFonts w:hint="eastAsia" w:ascii="黑体" w:hAnsi="黑体" w:eastAsia="黑体" w:cs="黑体"/>
          <w:color w:val="auto"/>
          <w:sz w:val="21"/>
          <w:szCs w:val="21"/>
          <w:lang w:eastAsia="zh-CN"/>
        </w:rPr>
        <w:t>海南省统计局</w:t>
      </w:r>
      <w:r>
        <w:rPr>
          <w:rFonts w:hint="eastAsia" w:ascii="黑体" w:hAnsi="黑体" w:eastAsia="黑体"/>
          <w:color w:val="auto"/>
          <w:sz w:val="21"/>
          <w:szCs w:val="21"/>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firstLine="1050" w:firstLineChars="500"/>
        <w:jc w:val="left"/>
        <w:textAlignment w:val="auto"/>
        <w:rPr>
          <w:rFonts w:ascii="黑体" w:hAnsi="黑体" w:eastAsia="黑体" w:cs="黑体"/>
          <w:color w:val="auto"/>
          <w:sz w:val="21"/>
          <w:szCs w:val="21"/>
        </w:rPr>
      </w:pPr>
      <w:r>
        <w:rPr>
          <w:rFonts w:hint="default" w:ascii="黑体" w:hAnsi="黑体" w:eastAsia="黑体"/>
          <w:color w:val="auto"/>
          <w:sz w:val="21"/>
          <w:szCs w:val="21"/>
          <w:lang w:eastAsia="zh-CN"/>
        </w:rPr>
        <w:t xml:space="preserve">                                           </w:t>
      </w:r>
      <w:r>
        <w:rPr>
          <w:rFonts w:hint="eastAsia" w:ascii="黑体" w:hAnsi="黑体" w:eastAsia="黑体" w:cs="黑体"/>
          <w:color w:val="auto"/>
          <w:sz w:val="21"/>
          <w:szCs w:val="21"/>
          <w:lang w:eastAsia="zh-CN"/>
        </w:rPr>
        <w:t>批准文</w:t>
      </w:r>
      <w:r>
        <w:rPr>
          <w:rFonts w:hint="eastAsia" w:ascii="黑体" w:hAnsi="黑体" w:eastAsia="黑体" w:cs="黑体"/>
          <w:color w:val="auto"/>
          <w:sz w:val="21"/>
          <w:szCs w:val="21"/>
        </w:rPr>
        <w:t>号</w:t>
      </w:r>
      <w:r>
        <w:rPr>
          <w:rFonts w:hint="eastAsia" w:ascii="黑体" w:hAnsi="黑体" w:eastAsia="黑体" w:cs="黑体"/>
          <w:color w:val="auto"/>
          <w:sz w:val="21"/>
          <w:szCs w:val="21"/>
          <w:lang w:eastAsia="zh-CN"/>
        </w:rPr>
        <w:t>：</w:t>
      </w:r>
      <w:r>
        <w:rPr>
          <w:rFonts w:hint="eastAsia" w:ascii="黑体" w:hAnsi="黑体" w:eastAsia="黑体"/>
          <w:color w:val="auto"/>
          <w:sz w:val="21"/>
          <w:szCs w:val="21"/>
        </w:rPr>
        <w:t>琼统便函〔</w:t>
      </w:r>
      <w:r>
        <w:rPr>
          <w:rFonts w:hint="default" w:ascii="Times New Roman" w:hAnsi="Times New Roman" w:eastAsia="黑体" w:cs="Times New Roman"/>
          <w:color w:val="auto"/>
          <w:sz w:val="21"/>
          <w:szCs w:val="21"/>
        </w:rPr>
        <w:t>202</w:t>
      </w:r>
      <w:r>
        <w:rPr>
          <w:rFonts w:hint="default" w:ascii="Times New Roman" w:hAnsi="Times New Roman" w:eastAsia="黑体" w:cs="Times New Roman"/>
          <w:color w:val="auto"/>
          <w:sz w:val="21"/>
          <w:szCs w:val="21"/>
          <w:lang w:val="en-US"/>
        </w:rPr>
        <w:t>5</w:t>
      </w:r>
      <w:r>
        <w:rPr>
          <w:rFonts w:hint="eastAsia" w:ascii="黑体" w:hAnsi="黑体" w:eastAsia="黑体"/>
          <w:color w:val="auto"/>
          <w:sz w:val="21"/>
          <w:szCs w:val="21"/>
        </w:rPr>
        <w:t>〕</w:t>
      </w:r>
      <w:r>
        <w:rPr>
          <w:rFonts w:hint="default" w:ascii="黑体" w:hAnsi="黑体" w:eastAsia="黑体"/>
          <w:color w:val="auto"/>
          <w:sz w:val="21"/>
          <w:szCs w:val="21"/>
          <w:lang w:val="en-US"/>
        </w:rPr>
        <w:t>2</w:t>
      </w:r>
      <w:r>
        <w:rPr>
          <w:rFonts w:hint="eastAsia" w:ascii="黑体" w:hAnsi="黑体" w:eastAsia="黑体"/>
          <w:color w:val="auto"/>
          <w:sz w:val="21"/>
          <w:szCs w:val="21"/>
        </w:rPr>
        <w:t>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332" w:rightChars="0"/>
        <w:jc w:val="left"/>
        <w:textAlignment w:val="auto"/>
        <w:rPr>
          <w:rFonts w:ascii="黑体" w:hAnsi="黑体" w:eastAsia="黑体" w:cs="黑体"/>
          <w:color w:val="auto"/>
          <w:sz w:val="21"/>
          <w:szCs w:val="21"/>
        </w:rPr>
      </w:pPr>
      <w:r>
        <w:rPr>
          <w:rFonts w:hint="eastAsia" w:ascii="黑体" w:hAnsi="Calibri" w:eastAsia="黑体"/>
          <w:color w:val="auto"/>
          <w:sz w:val="21"/>
          <w:szCs w:val="21"/>
        </w:rPr>
        <w:t>　　　　　　　　　　　　　　　　　</w:t>
      </w:r>
      <w:r>
        <w:rPr>
          <w:rFonts w:hint="eastAsia" w:ascii="黑体" w:hAnsi="Calibri" w:eastAsia="黑体"/>
          <w:color w:val="auto"/>
          <w:sz w:val="21"/>
          <w:szCs w:val="21"/>
          <w:lang w:val="en-US" w:eastAsia="zh-CN"/>
        </w:rPr>
        <w:t xml:space="preserve">                 </w:t>
      </w:r>
      <w:r>
        <w:rPr>
          <w:rFonts w:hint="eastAsia" w:ascii="黑体" w:eastAsia="黑体"/>
          <w:color w:val="auto"/>
          <w:sz w:val="21"/>
          <w:szCs w:val="21"/>
          <w:lang w:val="en-US" w:eastAsia="zh-CN"/>
        </w:rPr>
        <w:t xml:space="preserve">  </w:t>
      </w:r>
      <w:r>
        <w:rPr>
          <w:rFonts w:hint="eastAsia" w:ascii="黑体" w:hAnsi="黑体" w:eastAsia="黑体" w:cs="黑体"/>
          <w:color w:val="auto"/>
          <w:sz w:val="21"/>
          <w:szCs w:val="21"/>
        </w:rPr>
        <w:t>有效期</w:t>
      </w:r>
      <w:r>
        <w:rPr>
          <w:rFonts w:ascii="黑体" w:hAnsi="黑体" w:eastAsia="黑体" w:cs="黑体"/>
          <w:color w:val="auto"/>
          <w:sz w:val="21"/>
          <w:szCs w:val="21"/>
        </w:rPr>
        <w:t>止</w:t>
      </w:r>
      <w:r>
        <w:rPr>
          <w:rFonts w:hint="eastAsia" w:ascii="黑体" w:hAnsi="黑体" w:eastAsia="黑体" w:cs="黑体"/>
          <w:color w:val="auto"/>
          <w:sz w:val="21"/>
          <w:szCs w:val="21"/>
          <w:lang w:eastAsia="zh-CN"/>
        </w:rPr>
        <w:t>：</w:t>
      </w:r>
      <w:r>
        <w:rPr>
          <w:rFonts w:hint="default" w:ascii="Times New Roman" w:hAnsi="Times New Roman" w:eastAsia="黑体" w:cs="Times New Roman"/>
          <w:color w:val="auto"/>
          <w:sz w:val="21"/>
          <w:szCs w:val="21"/>
        </w:rPr>
        <w:t>20</w:t>
      </w:r>
      <w:r>
        <w:rPr>
          <w:rFonts w:hint="default" w:ascii="Times New Roman" w:hAnsi="Times New Roman" w:eastAsia="黑体" w:cs="Times New Roman"/>
          <w:color w:val="auto"/>
          <w:sz w:val="21"/>
          <w:szCs w:val="21"/>
          <w:lang w:val="en-US" w:eastAsia="zh-CN"/>
        </w:rPr>
        <w:t>25</w:t>
      </w:r>
      <w:r>
        <w:rPr>
          <w:rFonts w:hint="eastAsia" w:ascii="黑体" w:hAnsi="黑体" w:eastAsia="黑体"/>
          <w:color w:val="auto"/>
          <w:sz w:val="21"/>
          <w:szCs w:val="21"/>
        </w:rPr>
        <w:t>年</w:t>
      </w:r>
      <w:r>
        <w:rPr>
          <w:rFonts w:hint="default" w:ascii="黑体" w:hAnsi="黑体" w:eastAsia="黑体"/>
          <w:color w:val="auto"/>
          <w:sz w:val="21"/>
          <w:szCs w:val="21"/>
          <w:lang w:val="en-US"/>
        </w:rPr>
        <w:t>4</w:t>
      </w:r>
      <w:r>
        <w:rPr>
          <w:rFonts w:hint="eastAsia" w:ascii="黑体" w:hAnsi="黑体" w:eastAsia="黑体"/>
          <w:color w:val="auto"/>
          <w:sz w:val="21"/>
          <w:szCs w:val="21"/>
          <w:lang w:val="en-US" w:eastAsia="zh-CN"/>
        </w:rPr>
        <w:t xml:space="preserve"> </w:t>
      </w:r>
      <w:r>
        <w:rPr>
          <w:rFonts w:hint="eastAsia" w:ascii="黑体" w:hAnsi="黑体" w:eastAsia="黑体"/>
          <w:color w:val="auto"/>
          <w:sz w:val="21"/>
          <w:szCs w:val="21"/>
        </w:rPr>
        <w:t>月</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firstLine="560" w:firstLineChars="200"/>
        <w:jc w:val="left"/>
        <w:textAlignment w:val="auto"/>
        <w:rPr>
          <w:rFonts w:hint="eastAsia" w:asciiTheme="majorEastAsia" w:hAnsiTheme="majorEastAsia" w:eastAsiaTheme="majorEastAsia" w:cstheme="majorEastAsia"/>
          <w:color w:val="auto"/>
          <w:sz w:val="28"/>
          <w:szCs w:val="28"/>
        </w:rPr>
      </w:pPr>
    </w:p>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460" w:lineRule="exact"/>
        <w:ind w:left="0" w:right="0"/>
        <w:jc w:val="both"/>
        <w:textAlignment w:val="baseline"/>
        <w:rPr>
          <w:rFonts w:hint="eastAsia" w:ascii="仿宋" w:hAnsi="仿宋" w:eastAsia="仿宋" w:cs="仿宋"/>
          <w:b w:val="0"/>
          <w:bCs/>
          <w:color w:val="auto"/>
          <w:kern w:val="2"/>
          <w:sz w:val="24"/>
          <w:szCs w:val="24"/>
          <w:vertAlign w:val="baseline"/>
        </w:rPr>
      </w:pPr>
      <w:r>
        <w:rPr>
          <w:rFonts w:hint="eastAsia" w:ascii="仿宋" w:hAnsi="仿宋" w:eastAsia="仿宋" w:cs="仿宋"/>
          <w:b w:val="0"/>
          <w:bCs/>
          <w:color w:val="auto"/>
          <w:kern w:val="2"/>
          <w:sz w:val="24"/>
          <w:szCs w:val="24"/>
          <w:vertAlign w:val="baseline"/>
          <w:lang w:val="en-US" w:eastAsia="zh-CN" w:bidi="ar"/>
        </w:rPr>
        <w:t>您好！</w:t>
      </w:r>
    </w:p>
    <w:p>
      <w:pPr>
        <w:keepNext w:val="0"/>
        <w:keepLines w:val="0"/>
        <w:pageBreakBefore w:val="0"/>
        <w:widowControl/>
        <w:suppressLineNumbers w:val="0"/>
        <w:wordWrap/>
        <w:overflowPunct/>
        <w:topLinePunct/>
        <w:autoSpaceDE w:val="0"/>
        <w:autoSpaceDN w:val="0"/>
        <w:bidi w:val="0"/>
        <w:adjustRightInd w:val="0"/>
        <w:snapToGrid w:val="0"/>
        <w:spacing w:before="0" w:beforeAutospacing="0" w:after="0" w:afterAutospacing="0" w:line="460" w:lineRule="exact"/>
        <w:ind w:left="0" w:right="0" w:firstLine="480" w:firstLineChars="200"/>
        <w:jc w:val="both"/>
        <w:textAlignment w:val="baseline"/>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bidi="ar"/>
        </w:rPr>
        <w:t>为做好2024年度三亚市直机关综合考核社会评价工作，三亚市统计局目前正在开展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jc w:val="left"/>
        <w:textAlignment w:val="auto"/>
        <w:rPr>
          <w:rFonts w:hint="eastAsia"/>
          <w:color w:val="auto"/>
        </w:rPr>
      </w:pPr>
      <w:r>
        <w:rPr>
          <w:color w:val="auto"/>
          <w:sz w:val="21"/>
        </w:rPr>
        <w:pict>
          <v:line id="_x0000_s1026" o:spid="_x0000_s1026" o:spt="20" style="position:absolute;left:0pt;flip:y;margin-left:-0.25pt;margin-top:8.5pt;height:0.65pt;width:437.05pt;z-index:251661312;mso-width-relative:page;mso-height-relative:page;" fillcolor="#FFFFFF" filled="t" stroked="t" coordsize="21600,21600">
            <v:path arrowok="t"/>
            <v:fill type="gradient" on="t" color2="#FFFFFF" angle="90" focus="0%" focussize="0f,0f" focusposition="0f,0f">
              <o:fill type="gradientUnscaled" v:ext="backwardCompatible"/>
            </v:fill>
            <v:stroke weight="0.5pt" color="#000000"/>
            <v:imagedata o:title=""/>
            <o:lock v:ext="edit" aspectratio="f"/>
          </v:line>
        </w:pict>
      </w:r>
    </w:p>
    <w:p>
      <w:pPr>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outlineLvl w:val="9"/>
        <w:rPr>
          <w:rFonts w:hint="eastAsia"/>
          <w:color w:val="auto"/>
          <w:lang w:eastAsia="zh-CN"/>
        </w:rPr>
      </w:pPr>
      <w:r>
        <w:rPr>
          <w:rFonts w:hint="eastAsia" w:ascii="宋体" w:hAnsi="宋体" w:eastAsia="宋体" w:cs="宋体"/>
          <w:b w:val="0"/>
          <w:bCs w:val="0"/>
          <w:color w:val="auto"/>
          <w:sz w:val="24"/>
          <w:szCs w:val="24"/>
          <w:highlight w:val="none"/>
        </w:rPr>
        <w:t>被评单位：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p>
    <w:tbl>
      <w:tblPr>
        <w:tblStyle w:val="8"/>
        <w:tblW w:w="965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2967"/>
        <w:gridCol w:w="633"/>
        <w:gridCol w:w="484"/>
        <w:gridCol w:w="516"/>
        <w:gridCol w:w="450"/>
        <w:gridCol w:w="500"/>
        <w:gridCol w:w="484"/>
        <w:gridCol w:w="533"/>
        <w:gridCol w:w="533"/>
        <w:gridCol w:w="567"/>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9650" w:type="dxa"/>
            <w:gridSpan w:val="12"/>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w:t>
            </w:r>
            <w:r>
              <w:rPr>
                <w:rFonts w:hint="eastAsia" w:ascii="黑体" w:hAnsi="黑体" w:eastAsia="黑体" w:cs="黑体"/>
                <w:color w:val="auto"/>
                <w:sz w:val="21"/>
                <w:szCs w:val="21"/>
              </w:rPr>
              <w:t>请按由低到高1</w:t>
            </w:r>
            <w:r>
              <w:rPr>
                <w:rFonts w:ascii="黑体" w:hAnsi="黑体" w:eastAsia="黑体" w:cs="黑体"/>
                <w:color w:val="auto"/>
                <w:sz w:val="21"/>
                <w:szCs w:val="21"/>
              </w:rPr>
              <w:t>-10</w:t>
            </w:r>
            <w:r>
              <w:rPr>
                <w:rFonts w:hint="eastAsia" w:ascii="黑体" w:hAnsi="黑体" w:eastAsia="黑体" w:cs="黑体"/>
                <w:color w:val="auto"/>
                <w:sz w:val="21"/>
                <w:szCs w:val="21"/>
              </w:rPr>
              <w:t>分</w:t>
            </w:r>
            <w:r>
              <w:rPr>
                <w:rFonts w:ascii="黑体" w:hAnsi="黑体" w:eastAsia="黑体" w:cs="黑体"/>
                <w:color w:val="auto"/>
                <w:sz w:val="21"/>
                <w:szCs w:val="21"/>
              </w:rPr>
              <w:t>给分</w:t>
            </w:r>
            <w:r>
              <w:rPr>
                <w:rFonts w:hint="eastAsia" w:ascii="Times New Roman" w:hAnsi="Times New Roman" w:cs="Times New Roman"/>
                <w:b w:val="0"/>
                <w:bCs w:val="0"/>
                <w:color w:val="auto"/>
                <w:sz w:val="21"/>
                <w:szCs w:val="21"/>
                <w:highlight w:val="none"/>
                <w:lang w:val="en-US" w:eastAsia="zh-CN"/>
              </w:rPr>
              <w:t>。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440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50"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4400"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7"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作风建设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（权重25%）</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Theme="minorEastAsia" w:hAnsiTheme="minorEastAsia" w:eastAsiaTheme="minorEastAsia" w:cstheme="minorEastAsia"/>
                <w:color w:val="auto"/>
                <w:kern w:val="2"/>
                <w:sz w:val="21"/>
                <w:szCs w:val="21"/>
                <w:lang w:val="en-US" w:eastAsia="zh-CN" w:bidi="ar"/>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0" w:hRule="atLeast"/>
        </w:trPr>
        <w:tc>
          <w:tcPr>
            <w:tcW w:w="1433" w:type="dxa"/>
            <w:vAlign w:val="center"/>
          </w:tcPr>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rPr>
              <w:t>履职尽责</w:t>
            </w:r>
          </w:p>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（权重20%）</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工作实绩实效进行评价，包括贯彻执行党中央、国务院重大决策部署，省委、省政府和市委市政府重点工作安排；服务市委、市政府重点、中心工作；从严治党，落实党建工作责任制；立足职能职责，完成本单位核心业务目标和重难点工作等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9"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能力建设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重点围绕单位的工作水平、工作效率、工作业绩等进行评价，包括政治能力、</w:t>
            </w:r>
            <w:r>
              <w:rPr>
                <w:rFonts w:hint="eastAsia" w:ascii="宋体" w:hAnsi="宋体" w:cs="宋体"/>
                <w:color w:val="auto"/>
                <w:kern w:val="2"/>
                <w:sz w:val="21"/>
                <w:szCs w:val="21"/>
                <w:lang w:val="en-US" w:eastAsia="zh-CN" w:bidi="ar"/>
              </w:rPr>
              <w:t>依法行政能力、</w:t>
            </w:r>
            <w:r>
              <w:rPr>
                <w:rFonts w:hint="eastAsia" w:ascii="宋体" w:hAnsi="宋体" w:eastAsia="宋体" w:cs="宋体"/>
                <w:color w:val="auto"/>
                <w:kern w:val="2"/>
                <w:sz w:val="21"/>
                <w:szCs w:val="21"/>
                <w:lang w:val="en-US" w:eastAsia="zh-CN" w:bidi="ar"/>
              </w:rPr>
              <w:t>业务能力、攻坚能力、驾驭风险等能力建设情况。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4"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default" w:ascii="Times New Roman" w:hAnsi="Times New Roman" w:cs="Times New Roman"/>
                <w:b/>
                <w:bCs/>
                <w:color w:val="auto"/>
                <w:sz w:val="21"/>
                <w:szCs w:val="21"/>
                <w:lang w:val="en" w:eastAsia="zh-CN"/>
              </w:rPr>
            </w:pP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为民服务</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重点围绕为民办实事事项和服务保障民生方面进行评价，包括市委市政府2024年为民办实事事项完成情况；</w:t>
            </w:r>
            <w:r>
              <w:rPr>
                <w:rFonts w:hint="eastAsia" w:ascii="宋体" w:hAnsi="宋体" w:cs="宋体"/>
                <w:color w:val="auto"/>
                <w:kern w:val="2"/>
                <w:sz w:val="21"/>
                <w:szCs w:val="21"/>
                <w:lang w:val="en-US" w:eastAsia="zh-CN" w:bidi="ar"/>
              </w:rPr>
              <w:t>包括立足本部门职责，为群众解决实际问题，为企业送政策及排忧解难；简化审批及办事流程，推行便民服务等为基层减负措施。</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3"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5.</w:t>
            </w:r>
            <w:r>
              <w:rPr>
                <w:rFonts w:hint="eastAsia" w:ascii="Times New Roman" w:hAnsi="Times New Roman" w:cs="Times New Roman"/>
                <w:b/>
                <w:bCs/>
                <w:color w:val="auto"/>
                <w:sz w:val="21"/>
                <w:szCs w:val="21"/>
                <w:lang w:eastAsia="zh-CN"/>
              </w:rPr>
              <w:t>制度创新</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heme="minorEastAsia" w:hAnsiTheme="minorEastAsia" w:eastAsiaTheme="minorEastAsia" w:cstheme="minorEastAsia"/>
                <w:bCs/>
                <w:color w:val="auto"/>
                <w:sz w:val="21"/>
                <w:szCs w:val="21"/>
                <w:lang w:eastAsia="zh-CN"/>
              </w:rPr>
              <w:t>包括聚焦国际最新经贸规则、国内外先进经验、海南特色优势开展制度创新；聚焦最重要、最紧迫、最难啃的改革重点、难点、堵点问题进行制度创新；聚焦自贸港发展重点方向、优势产业、核心政策持续推进制度创新。</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0"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6.</w:t>
            </w:r>
            <w:r>
              <w:rPr>
                <w:rFonts w:ascii="Times New Roman" w:hAnsi="Times New Roman" w:cs="Times New Roman"/>
                <w:b/>
                <w:bCs/>
                <w:color w:val="auto"/>
                <w:sz w:val="21"/>
                <w:szCs w:val="21"/>
              </w:rPr>
              <w:t>廉洁自律</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（权重10%）</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both"/>
              <w:textAlignment w:val="auto"/>
              <w:rPr>
                <w:rFonts w:ascii="Times New Roman" w:hAnsi="Times New Roman" w:cs="Times New Roman"/>
                <w:color w:val="auto"/>
                <w:sz w:val="21"/>
                <w:szCs w:val="21"/>
              </w:rPr>
            </w:pPr>
            <w:r>
              <w:rPr>
                <w:rFonts w:hint="eastAsia" w:asciiTheme="minorEastAsia" w:hAnsiTheme="minorEastAsia" w:eastAsiaTheme="minorEastAsia" w:cstheme="minorEastAsia"/>
                <w:color w:val="auto"/>
                <w:sz w:val="21"/>
                <w:szCs w:val="21"/>
                <w:lang w:val="en-US" w:eastAsia="zh-CN"/>
              </w:rPr>
              <w:t>重点考察单位党风廉政建设情况，包括遵守廉洁从政和廉洁从业各项规定；查处违纪违规问题，杜绝吃拿卡要、公款旅游、公款送礼、违规公款吃喝等挥霍浪费问题。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3" w:hRule="atLeast"/>
        </w:trPr>
        <w:tc>
          <w:tcPr>
            <w:tcW w:w="965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lang w:eastAsia="zh-CN"/>
        </w:rPr>
        <w:t>年度三亚市区委区政府综合考核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社会评价调查问卷</w:t>
      </w:r>
    </w:p>
    <w:p>
      <w:pPr>
        <w:pStyle w:val="2"/>
        <w:rPr>
          <w:rFonts w:hint="eastAsia"/>
          <w:color w:val="auto"/>
          <w:sz w:val="28"/>
          <w:szCs w:val="28"/>
        </w:rPr>
      </w:pPr>
      <w:r>
        <w:rPr>
          <w:rFonts w:hint="eastAsia"/>
          <w:color w:val="auto"/>
          <w:sz w:val="28"/>
          <w:szCs w:val="28"/>
        </w:rPr>
        <w:t xml:space="preserve"> </w:t>
      </w:r>
    </w:p>
    <w:p>
      <w:pPr>
        <w:pStyle w:val="2"/>
        <w:ind w:firstLine="5670" w:firstLineChars="2700"/>
        <w:rPr>
          <w:rFonts w:hint="eastAsia"/>
          <w:color w:val="auto"/>
        </w:rPr>
      </w:pPr>
      <w:r>
        <w:rPr>
          <w:rFonts w:hint="eastAsia"/>
          <w:color w:val="auto"/>
        </w:rPr>
        <w:t xml:space="preserve">制表机关：三亚市统计局 </w:t>
      </w:r>
    </w:p>
    <w:p>
      <w:pPr>
        <w:pStyle w:val="2"/>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批准机关：海南省统计局 </w:t>
      </w:r>
    </w:p>
    <w:p>
      <w:pPr>
        <w:pStyle w:val="2"/>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批准文号：琼统便函〔</w:t>
      </w:r>
      <w:r>
        <w:rPr>
          <w:rFonts w:hint="default" w:ascii="Times New Roman" w:hAnsi="Times New Roman" w:cs="Times New Roman"/>
          <w:color w:val="auto"/>
        </w:rPr>
        <w:t>202</w:t>
      </w:r>
      <w:r>
        <w:rPr>
          <w:rFonts w:hint="default" w:ascii="Times New Roman" w:hAnsi="Times New Roman" w:cs="Times New Roman"/>
          <w:color w:val="auto"/>
          <w:lang w:val="en-US"/>
        </w:rPr>
        <w:t>5</w:t>
      </w:r>
      <w:r>
        <w:rPr>
          <w:rFonts w:hint="eastAsia"/>
          <w:color w:val="auto"/>
        </w:rPr>
        <w:t>〕</w:t>
      </w:r>
      <w:r>
        <w:rPr>
          <w:rFonts w:hint="default"/>
          <w:color w:val="auto"/>
          <w:lang w:val="en-US"/>
        </w:rPr>
        <w:t>2</w:t>
      </w:r>
      <w:r>
        <w:rPr>
          <w:rFonts w:hint="eastAsia"/>
          <w:color w:val="auto"/>
        </w:rPr>
        <w:t>号</w:t>
      </w:r>
    </w:p>
    <w:p>
      <w:pPr>
        <w:pStyle w:val="2"/>
        <w:rPr>
          <w:rFonts w:hint="eastAsia"/>
          <w:color w:val="auto"/>
        </w:rPr>
      </w:pPr>
      <w:r>
        <w:rPr>
          <w:rFonts w:hint="eastAsia"/>
          <w:color w:val="auto"/>
        </w:rPr>
        <w:t>　　　　　　　　　　　　　　　　　                    有效期止：</w:t>
      </w:r>
      <w:r>
        <w:rPr>
          <w:rFonts w:hint="default" w:ascii="Times New Roman" w:hAnsi="Times New Roman" w:cs="Times New Roman"/>
          <w:color w:val="auto"/>
        </w:rPr>
        <w:t>2025</w:t>
      </w:r>
      <w:r>
        <w:rPr>
          <w:rFonts w:hint="eastAsia"/>
          <w:color w:val="auto"/>
        </w:rPr>
        <w:t>年</w:t>
      </w:r>
      <w:r>
        <w:rPr>
          <w:rFonts w:hint="default"/>
          <w:color w:val="auto"/>
          <w:lang w:val="en-US"/>
        </w:rPr>
        <w:t>4</w:t>
      </w:r>
      <w:r>
        <w:rPr>
          <w:rFonts w:hint="eastAsia"/>
          <w:color w:val="auto"/>
        </w:rPr>
        <w:t xml:space="preserve"> 月</w:t>
      </w:r>
    </w:p>
    <w:p>
      <w:pPr>
        <w:pStyle w:val="2"/>
        <w:rPr>
          <w:rFonts w:hint="eastAsia"/>
          <w:color w:val="auto"/>
        </w:rPr>
      </w:pPr>
    </w:p>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b w:val="0"/>
          <w:bCs/>
          <w:color w:val="auto"/>
          <w:kern w:val="2"/>
          <w:sz w:val="24"/>
          <w:szCs w:val="24"/>
          <w:vertAlign w:val="baseline"/>
        </w:rPr>
      </w:pPr>
      <w:r>
        <w:rPr>
          <w:rFonts w:hint="eastAsia" w:ascii="仿宋" w:hAnsi="仿宋" w:eastAsia="仿宋" w:cs="仿宋"/>
          <w:b w:val="0"/>
          <w:bCs/>
          <w:color w:val="auto"/>
          <w:kern w:val="2"/>
          <w:sz w:val="24"/>
          <w:szCs w:val="24"/>
          <w:vertAlign w:val="baseline"/>
          <w:lang w:val="en-US" w:eastAsia="zh-CN" w:bidi="ar"/>
        </w:rPr>
        <w:t>您好！</w:t>
      </w:r>
    </w:p>
    <w:p>
      <w:pPr>
        <w:keepNext w:val="0"/>
        <w:keepLines w:val="0"/>
        <w:pageBreakBefore w:val="0"/>
        <w:widowControl/>
        <w:suppressLineNumbers w:val="0"/>
        <w:wordWrap/>
        <w:overflowPunct/>
        <w:topLinePunct/>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color w:val="auto"/>
          <w:sz w:val="24"/>
          <w:szCs w:val="24"/>
        </w:rPr>
      </w:pPr>
      <w:r>
        <w:rPr>
          <w:rFonts w:hint="eastAsia" w:ascii="仿宋" w:hAnsi="仿宋" w:eastAsia="仿宋" w:cs="仿宋"/>
          <w:color w:val="auto"/>
          <w:kern w:val="2"/>
          <w:sz w:val="24"/>
          <w:szCs w:val="24"/>
          <w:vertAlign w:val="baseline"/>
          <w:lang w:val="en-US" w:eastAsia="zh-CN" w:bidi="ar"/>
        </w:rPr>
        <w:t>为做好2024年度三亚市直机关综合考核社会评价工作，三亚市统计局目前正在开展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ajorEastAsia" w:hAnsiTheme="majorEastAsia" w:eastAsiaTheme="majorEastAsia" w:cstheme="majorEastAsia"/>
          <w:color w:val="auto"/>
          <w:sz w:val="24"/>
          <w:szCs w:val="24"/>
        </w:rPr>
      </w:pPr>
      <w:r>
        <w:rPr>
          <w:color w:val="auto"/>
          <w:sz w:val="21"/>
        </w:rPr>
        <w:pict>
          <v:line id="_x0000_s1027" o:spid="_x0000_s1027" o:spt="20" style="position:absolute;left:0pt;margin-left:-2.15pt;margin-top:11.45pt;height:0.05pt;width:438.35pt;z-index:251662336;mso-width-relative:page;mso-height-relative:page;" fillcolor="#FFFFFF" filled="t" stroked="t" coordsize="21600,21600">
            <v:path arrowok="t"/>
            <v:fill type="gradient" on="t" color2="#FFFFFF" angle="90" focus="0%" focussize="0f,0f" focusposition="0f,0f">
              <o:fill type="gradientUnscaled" v:ext="backwardCompatible"/>
            </v:fill>
            <v:stroke weight="0.5pt"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eastAsia="宋体"/>
          <w:color w:val="auto"/>
          <w:lang w:eastAsia="zh-CN"/>
        </w:rPr>
      </w:pPr>
      <w:r>
        <w:rPr>
          <w:rFonts w:hint="eastAsia" w:asciiTheme="majorEastAsia" w:hAnsiTheme="majorEastAsia" w:eastAsiaTheme="majorEastAsia" w:cstheme="majorEastAsia"/>
          <w:color w:val="auto"/>
          <w:sz w:val="24"/>
          <w:szCs w:val="24"/>
        </w:rPr>
        <w:t>被评</w:t>
      </w:r>
      <w:r>
        <w:rPr>
          <w:rFonts w:hint="eastAsia" w:asciiTheme="majorEastAsia" w:hAnsiTheme="majorEastAsia" w:eastAsiaTheme="majorEastAsia" w:cstheme="majorEastAsia"/>
          <w:color w:val="auto"/>
          <w:sz w:val="24"/>
          <w:szCs w:val="24"/>
          <w:lang w:eastAsia="zh-CN"/>
        </w:rPr>
        <w:t>区委区政府</w:t>
      </w:r>
      <w:r>
        <w:rPr>
          <w:rFonts w:hint="eastAsia" w:asciiTheme="majorEastAsia" w:hAnsiTheme="majorEastAsia" w:eastAsiaTheme="majorEastAsia" w:cstheme="majorEastAsia"/>
          <w:color w:val="auto"/>
          <w:sz w:val="24"/>
          <w:szCs w:val="24"/>
        </w:rPr>
        <w:t>：</w:t>
      </w:r>
      <w:r>
        <w:rPr>
          <w:rFonts w:ascii="Times New Roman" w:hAnsi="Times New Roman" w:eastAsia="仿宋_GB2312" w:cs="Times New Roman"/>
          <w:color w:val="auto"/>
          <w:sz w:val="24"/>
          <w:szCs w:val="24"/>
          <w:u w:val="single"/>
        </w:rPr>
        <w:t xml:space="preserve">                    </w:t>
      </w:r>
    </w:p>
    <w:tbl>
      <w:tblPr>
        <w:tblStyle w:val="8"/>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2967"/>
        <w:gridCol w:w="633"/>
        <w:gridCol w:w="484"/>
        <w:gridCol w:w="516"/>
        <w:gridCol w:w="450"/>
        <w:gridCol w:w="500"/>
        <w:gridCol w:w="484"/>
        <w:gridCol w:w="533"/>
        <w:gridCol w:w="533"/>
        <w:gridCol w:w="567"/>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9650" w:type="dxa"/>
            <w:gridSpan w:val="12"/>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w:t>
            </w:r>
            <w:r>
              <w:rPr>
                <w:rFonts w:hint="eastAsia" w:ascii="黑体" w:hAnsi="黑体" w:eastAsia="黑体" w:cs="黑体"/>
                <w:color w:val="auto"/>
                <w:sz w:val="21"/>
                <w:szCs w:val="21"/>
              </w:rPr>
              <w:t>请按由低到高1</w:t>
            </w:r>
            <w:r>
              <w:rPr>
                <w:rFonts w:ascii="黑体" w:hAnsi="黑体" w:eastAsia="黑体" w:cs="黑体"/>
                <w:color w:val="auto"/>
                <w:sz w:val="21"/>
                <w:szCs w:val="21"/>
              </w:rPr>
              <w:t>-10</w:t>
            </w:r>
            <w:r>
              <w:rPr>
                <w:rFonts w:hint="eastAsia" w:ascii="黑体" w:hAnsi="黑体" w:eastAsia="黑体" w:cs="黑体"/>
                <w:color w:val="auto"/>
                <w:sz w:val="21"/>
                <w:szCs w:val="21"/>
              </w:rPr>
              <w:t>分</w:t>
            </w:r>
            <w:r>
              <w:rPr>
                <w:rFonts w:ascii="黑体" w:hAnsi="黑体" w:eastAsia="黑体" w:cs="黑体"/>
                <w:color w:val="auto"/>
                <w:sz w:val="21"/>
                <w:szCs w:val="21"/>
              </w:rPr>
              <w:t>给分</w:t>
            </w:r>
            <w:r>
              <w:rPr>
                <w:rFonts w:hint="eastAsia" w:ascii="Times New Roman" w:hAnsi="Times New Roman" w:cs="Times New Roman"/>
                <w:b w:val="0"/>
                <w:bCs w:val="0"/>
                <w:color w:val="auto"/>
                <w:sz w:val="21"/>
                <w:szCs w:val="21"/>
                <w:highlight w:val="none"/>
                <w:lang w:val="en-US" w:eastAsia="zh-CN"/>
              </w:rPr>
              <w:t>。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440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50"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trPr>
        <w:tc>
          <w:tcPr>
            <w:tcW w:w="4400"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7" w:hRule="atLeast"/>
        </w:trPr>
        <w:tc>
          <w:tcPr>
            <w:tcW w:w="1433" w:type="dxa"/>
            <w:vAlign w:val="center"/>
          </w:tcPr>
          <w:p>
            <w:pPr>
              <w:spacing w:line="260" w:lineRule="exact"/>
              <w:rPr>
                <w:rFonts w:hint="eastAsia" w:ascii="Times New Roman" w:hAnsi="Times New Roman" w:eastAsia="宋体" w:cs="Times New Roman"/>
                <w:b/>
                <w:bCs/>
                <w:color w:val="auto"/>
                <w:sz w:val="21"/>
                <w:szCs w:val="21"/>
                <w:lang w:eastAsia="zh-CN"/>
              </w:rPr>
            </w:pPr>
            <w:r>
              <w:rPr>
                <w:rFonts w:ascii="Times New Roman" w:hAnsi="Times New Roman" w:cs="Times New Roman" w:eastAsiaTheme="majorEastAsia"/>
                <w:b/>
                <w:bCs/>
                <w:color w:val="auto"/>
                <w:sz w:val="22"/>
              </w:rPr>
              <w:t>1.</w:t>
            </w:r>
            <w:r>
              <w:rPr>
                <w:rFonts w:hint="eastAsia" w:asciiTheme="minorEastAsia" w:hAnsiTheme="minorEastAsia" w:eastAsiaTheme="minorEastAsia" w:cstheme="minorEastAsia"/>
                <w:b/>
                <w:bCs/>
                <w:color w:val="auto"/>
                <w:sz w:val="21"/>
                <w:szCs w:val="21"/>
              </w:rPr>
              <w:t>作风建设（权重1</w:t>
            </w:r>
            <w:r>
              <w:rPr>
                <w:rFonts w:hint="eastAsia" w:asciiTheme="minorEastAsia" w:hAnsiTheme="minorEastAsia" w:eastAsiaTheme="minorEastAsia" w:cstheme="minorEastAsia"/>
                <w:b/>
                <w:bCs/>
                <w:color w:val="auto"/>
                <w:sz w:val="21"/>
                <w:szCs w:val="21"/>
                <w:lang w:val="en-US" w:eastAsia="zh-CN"/>
              </w:rPr>
              <w:t>5</w:t>
            </w:r>
            <w:r>
              <w:rPr>
                <w:rFonts w:hint="eastAsia" w:asciiTheme="minorEastAsia" w:hAnsiTheme="minorEastAsia" w:eastAsiaTheme="minorEastAsia" w:cstheme="minorEastAsia"/>
                <w:b/>
                <w:bCs/>
                <w:color w:val="auto"/>
                <w:sz w:val="21"/>
                <w:szCs w:val="21"/>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Theme="minorEastAsia" w:hAnsiTheme="minorEastAsia" w:eastAsiaTheme="minorEastAsia" w:cstheme="minorEastAsia"/>
                <w:color w:val="auto"/>
                <w:kern w:val="2"/>
                <w:sz w:val="21"/>
                <w:szCs w:val="21"/>
                <w:lang w:val="en-US" w:eastAsia="zh-CN" w:bidi="ar"/>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0" w:hRule="atLeast"/>
        </w:trPr>
        <w:tc>
          <w:tcPr>
            <w:tcW w:w="1433" w:type="dxa"/>
            <w:vAlign w:val="center"/>
          </w:tcPr>
          <w:p>
            <w:pPr>
              <w:spacing w:line="260" w:lineRule="exact"/>
              <w:rPr>
                <w:rFonts w:ascii="Times New Roman" w:hAnsi="Times New Roman" w:cs="Times New Roman"/>
                <w:b/>
                <w:bCs/>
                <w:color w:val="auto"/>
                <w:sz w:val="21"/>
                <w:szCs w:val="21"/>
              </w:rPr>
            </w:pPr>
            <w:r>
              <w:rPr>
                <w:rFonts w:ascii="Times New Roman" w:hAnsi="Times New Roman" w:cs="Times New Roman" w:eastAsiaTheme="majorEastAsia"/>
                <w:b/>
                <w:bCs/>
                <w:color w:val="auto"/>
                <w:sz w:val="22"/>
              </w:rPr>
              <w:t>2.</w:t>
            </w: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b/>
                <w:bCs/>
                <w:color w:val="auto"/>
                <w:sz w:val="21"/>
                <w:szCs w:val="21"/>
              </w:rPr>
              <w:t>履职尽责（权重1</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重点围绕工作实绩实效进行评价，包括贯彻执行党中央、国务院重大决策部署，省委省政府和市委市政府重点工作安排；推动落实本区经济社会发展工作目标和中心任务；从严治党，落实党建工作责任制等情况。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9" w:hRule="atLeast"/>
        </w:trPr>
        <w:tc>
          <w:tcPr>
            <w:tcW w:w="1433" w:type="dxa"/>
            <w:vAlign w:val="center"/>
          </w:tcPr>
          <w:p>
            <w:pPr>
              <w:spacing w:line="260" w:lineRule="exact"/>
              <w:rPr>
                <w:rFonts w:hint="eastAsia" w:ascii="Times New Roman" w:hAnsi="Times New Roman" w:eastAsia="宋体"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3.为民服务</w:t>
            </w:r>
            <w:r>
              <w:rPr>
                <w:rFonts w:hint="eastAsia" w:asciiTheme="minorEastAsia" w:hAnsiTheme="minorEastAsia" w:eastAsiaTheme="minorEastAsia" w:cstheme="minorEastAsia"/>
                <w:b/>
                <w:bCs/>
                <w:color w:val="auto"/>
                <w:sz w:val="21"/>
                <w:szCs w:val="21"/>
                <w:lang w:val="en-US" w:eastAsia="zh-CN"/>
              </w:rPr>
              <w:t>（权重12%）</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重点围绕为民办实事事项和服务保障民生方面进行评价，包括</w:t>
            </w:r>
            <w:r>
              <w:rPr>
                <w:rFonts w:hint="eastAsia" w:ascii="宋体" w:hAnsi="宋体" w:cs="宋体"/>
                <w:color w:val="auto"/>
                <w:kern w:val="2"/>
                <w:sz w:val="21"/>
                <w:szCs w:val="21"/>
                <w:lang w:val="en-US" w:eastAsia="zh-CN" w:bidi="ar"/>
              </w:rPr>
              <w:t>区</w:t>
            </w:r>
            <w:r>
              <w:rPr>
                <w:rFonts w:hint="eastAsia" w:ascii="宋体" w:hAnsi="宋体" w:eastAsia="宋体" w:cs="宋体"/>
                <w:color w:val="auto"/>
                <w:kern w:val="2"/>
                <w:sz w:val="21"/>
                <w:szCs w:val="21"/>
                <w:lang w:val="en-US" w:eastAsia="zh-CN" w:bidi="ar"/>
              </w:rPr>
              <w:t>委</w:t>
            </w:r>
            <w:r>
              <w:rPr>
                <w:rFonts w:hint="eastAsia" w:ascii="宋体" w:hAnsi="宋体" w:cs="宋体"/>
                <w:color w:val="auto"/>
                <w:kern w:val="2"/>
                <w:sz w:val="21"/>
                <w:szCs w:val="21"/>
                <w:lang w:val="en-US" w:eastAsia="zh-CN" w:bidi="ar"/>
              </w:rPr>
              <w:t>区</w:t>
            </w:r>
            <w:r>
              <w:rPr>
                <w:rFonts w:hint="eastAsia" w:ascii="宋体" w:hAnsi="宋体" w:eastAsia="宋体" w:cs="宋体"/>
                <w:color w:val="auto"/>
                <w:kern w:val="2"/>
                <w:sz w:val="21"/>
                <w:szCs w:val="21"/>
                <w:lang w:val="en-US" w:eastAsia="zh-CN" w:bidi="ar"/>
              </w:rPr>
              <w:t>政府2024年为民办实事事项完成情况；包括民生事业的交通出行、就业创业、城乡住房、教育、医疗卫生、社会保障等方面。</w:t>
            </w:r>
            <w:r>
              <w:rPr>
                <w:rFonts w:hint="eastAsia" w:ascii="宋体" w:hAnsi="宋体" w:cs="宋体"/>
                <w:color w:val="auto"/>
                <w:kern w:val="2"/>
                <w:sz w:val="21"/>
                <w:szCs w:val="21"/>
                <w:lang w:val="en-US" w:eastAsia="zh-CN" w:bidi="ar"/>
              </w:rPr>
              <w:t>包括立足区委区政府职责，为群众解决实际问题，为企业送政策及排忧解难。</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4" w:hRule="atLeast"/>
        </w:trPr>
        <w:tc>
          <w:tcPr>
            <w:tcW w:w="1433" w:type="dxa"/>
            <w:vAlign w:val="center"/>
          </w:tcPr>
          <w:p>
            <w:pPr>
              <w:spacing w:line="260" w:lineRule="exact"/>
              <w:rPr>
                <w:rFonts w:hint="eastAsia" w:ascii="Times New Roman" w:hAnsi="Times New Roman" w:eastAsia="宋体"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4.</w:t>
            </w:r>
            <w:r>
              <w:rPr>
                <w:rFonts w:hint="eastAsia" w:asciiTheme="minorEastAsia" w:hAnsiTheme="minorEastAsia" w:eastAsiaTheme="minorEastAsia" w:cstheme="minorEastAsia"/>
                <w:b/>
                <w:bCs/>
                <w:color w:val="auto"/>
                <w:sz w:val="21"/>
                <w:szCs w:val="21"/>
                <w:lang w:val="en-US" w:eastAsia="zh-CN"/>
              </w:rPr>
              <w:t>依法行政（</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9%）</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主要围绕单位法治思维和法治能力建设情况进行评价，包括加强行政执法队伍建设，严格、公正、文明执法；深化行政管理体制改革，形成权责一致、分工合理、决策科学、执行顺畅、监督有力的行政管理体制。</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0" w:hRule="atLeast"/>
        </w:trPr>
        <w:tc>
          <w:tcPr>
            <w:tcW w:w="1433" w:type="dxa"/>
            <w:vAlign w:val="center"/>
          </w:tcPr>
          <w:p>
            <w:pPr>
              <w:spacing w:line="260" w:lineRule="exact"/>
              <w:rPr>
                <w:rFonts w:hint="eastAsia" w:ascii="Times New Roman" w:hAnsi="Times New Roman" w:eastAsia="宋体" w:cs="Times New Roman"/>
                <w:color w:val="auto"/>
                <w:sz w:val="21"/>
                <w:szCs w:val="21"/>
                <w:lang w:eastAsia="zh-CN"/>
              </w:rPr>
            </w:pPr>
            <w:r>
              <w:rPr>
                <w:rFonts w:hint="eastAsia" w:ascii="Times New Roman" w:hAnsi="Times New Roman" w:cs="Times New Roman" w:eastAsiaTheme="majorEastAsia"/>
                <w:b/>
                <w:bCs/>
                <w:color w:val="auto"/>
                <w:sz w:val="22"/>
                <w:lang w:val="en-US" w:eastAsia="zh-CN"/>
              </w:rPr>
              <w:t>5</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基础设施建设（权重10%）</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hint="eastAsia" w:ascii="Times New Roman" w:hAnsi="Times New Roman" w:eastAsia="宋体" w:cs="Times New Roman"/>
                <w:color w:val="auto"/>
                <w:sz w:val="21"/>
                <w:szCs w:val="21"/>
                <w:lang w:eastAsia="zh-CN"/>
              </w:rPr>
            </w:pPr>
            <w:r>
              <w:rPr>
                <w:rFonts w:hint="eastAsia" w:ascii="宋体" w:hAnsi="宋体" w:eastAsia="宋体" w:cs="宋体"/>
                <w:color w:val="auto"/>
                <w:kern w:val="2"/>
                <w:sz w:val="21"/>
                <w:szCs w:val="21"/>
                <w:lang w:val="en-US" w:eastAsia="zh-CN" w:bidi="ar"/>
              </w:rPr>
              <w:t>主要围绕基础设施建设与改善情况进行评价，包括公路、通讯、水电煤气等公共设施和教育、科技、医疗、卫生、体育及文化等社会性基础设施的建设。</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0" w:hRule="atLeast"/>
        </w:trPr>
        <w:tc>
          <w:tcPr>
            <w:tcW w:w="1433" w:type="dxa"/>
            <w:vAlign w:val="center"/>
          </w:tcPr>
          <w:p>
            <w:pPr>
              <w:spacing w:line="260" w:lineRule="exact"/>
              <w:rPr>
                <w:rFonts w:hint="eastAsia" w:ascii="Times New Roman" w:hAnsi="Times New Roman"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6</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营商环境（</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9%）</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hint="eastAsia" w:asciiTheme="minorEastAsia" w:hAnsiTheme="minorEastAsia" w:eastAsiaTheme="minorEastAsia" w:cstheme="minorEastAsia"/>
                <w:bCs/>
                <w:color w:val="auto"/>
                <w:sz w:val="21"/>
                <w:szCs w:val="21"/>
                <w:lang w:eastAsia="zh-CN"/>
              </w:rPr>
            </w:pPr>
            <w:r>
              <w:rPr>
                <w:rFonts w:hint="eastAsia" w:ascii="宋体" w:hAnsi="宋体" w:eastAsia="宋体" w:cs="宋体"/>
                <w:color w:val="auto"/>
                <w:kern w:val="2"/>
                <w:sz w:val="21"/>
                <w:szCs w:val="21"/>
                <w:lang w:val="en-US" w:eastAsia="zh-CN" w:bidi="ar"/>
              </w:rPr>
              <w:t>重点围绕改进和优化营商环境相关要求落实情况进行评价，包括是否全面贯彻落实党中央、国务院，省委省政府和市委市政府关于优化营商环境有关决策部署，持续开展政策宣传解读，确保政策落地见效；解决市场主体反映强烈的堵点、难点问题情况；是否聚焦市场主体需求，建立高效便利的服务、监督和保障等工作机制。</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0" w:hRule="atLeast"/>
        </w:trPr>
        <w:tc>
          <w:tcPr>
            <w:tcW w:w="1433" w:type="dxa"/>
            <w:vAlign w:val="center"/>
          </w:tcPr>
          <w:p>
            <w:pPr>
              <w:spacing w:line="260" w:lineRule="exact"/>
              <w:rPr>
                <w:rFonts w:hint="eastAsia" w:ascii="Times New Roman" w:hAnsi="Times New Roman"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7</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环境保护（</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9%）</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重点围绕环境现状的优化改善和存在问题的整改情况进行评价，包括空气、水、土壤等环境质量；环保督察</w:t>
            </w:r>
            <w:bookmarkStart w:id="2" w:name="_GoBack"/>
            <w:bookmarkEnd w:id="2"/>
            <w:r>
              <w:rPr>
                <w:rFonts w:hint="eastAsia" w:asciiTheme="minorEastAsia" w:hAnsiTheme="minorEastAsia" w:eastAsiaTheme="minorEastAsia" w:cstheme="minorEastAsia"/>
                <w:bCs/>
                <w:color w:val="auto"/>
                <w:sz w:val="21"/>
                <w:szCs w:val="21"/>
                <w:lang w:val="en-US" w:eastAsia="zh-CN"/>
              </w:rPr>
              <w:t>整改；物种、植被、土地、海洋保护等。</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0" w:hRule="atLeast"/>
        </w:trPr>
        <w:tc>
          <w:tcPr>
            <w:tcW w:w="1433" w:type="dxa"/>
            <w:vAlign w:val="center"/>
          </w:tcPr>
          <w:p>
            <w:pPr>
              <w:spacing w:line="260" w:lineRule="exact"/>
              <w:rPr>
                <w:rFonts w:hint="eastAsia" w:ascii="Times New Roman" w:hAnsi="Times New Roman"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8乡村振兴（权重8%）</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4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imes New Roman" w:hAnsi="Times New Roman" w:cs="Times New Roman" w:eastAsiaTheme="majorEastAsia"/>
                <w:color w:val="auto"/>
                <w:sz w:val="22"/>
                <w:lang w:val="en-US" w:eastAsia="zh-CN"/>
              </w:rPr>
              <w:t>重点围绕“产业兴旺、生态宜居、乡风文明、治理有效、生活富裕”的总体要求，加快推动农业农村现代化、实现农业强、农村美、农民富裕目标。</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9" w:hRule="atLeast"/>
        </w:trPr>
        <w:tc>
          <w:tcPr>
            <w:tcW w:w="1433" w:type="dxa"/>
            <w:vAlign w:val="center"/>
          </w:tcPr>
          <w:p>
            <w:pPr>
              <w:spacing w:line="260" w:lineRule="exact"/>
              <w:rPr>
                <w:rFonts w:hint="eastAsia" w:ascii="Times New Roman" w:hAnsi="Times New Roman"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9</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党风廉政建设（</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8%）</w:t>
            </w:r>
          </w:p>
        </w:tc>
        <w:tc>
          <w:tcPr>
            <w:tcW w:w="2967" w:type="dxa"/>
            <w:vAlign w:val="center"/>
          </w:tcPr>
          <w:p>
            <w:pPr>
              <w:keepNext w:val="0"/>
              <w:keepLines w:val="0"/>
              <w:widowControl w:val="0"/>
              <w:suppressLineNumbers w:val="0"/>
              <w:spacing w:before="0" w:beforeAutospacing="0" w:after="0" w:afterAutospacing="0"/>
              <w:ind w:left="0" w:leftChars="0" w:right="0" w:rightChars="0" w:firstLine="420" w:firstLineChars="200"/>
              <w:jc w:val="both"/>
              <w:rPr>
                <w:rFonts w:hint="eastAsia" w:asciiTheme="minorEastAsia" w:hAnsiTheme="minorEastAsia" w:eastAsiaTheme="minorEastAsia" w:cstheme="minorEastAsia"/>
                <w:bCs/>
                <w:color w:val="auto"/>
                <w:sz w:val="21"/>
                <w:szCs w:val="21"/>
                <w:lang w:eastAsia="zh-CN"/>
              </w:rPr>
            </w:pPr>
            <w:r>
              <w:rPr>
                <w:rFonts w:hint="eastAsia" w:ascii="宋体" w:hAnsi="宋体" w:eastAsia="宋体" w:cs="宋体"/>
                <w:color w:val="auto"/>
                <w:kern w:val="2"/>
                <w:sz w:val="21"/>
                <w:szCs w:val="21"/>
                <w:lang w:val="en-US" w:eastAsia="zh-CN" w:bidi="ar"/>
              </w:rPr>
              <w:t>重点围绕贯彻落实廉洁从政相关规定情况进行评价，包括落实主体责任，强化反腐倡廉宣传教育；加强廉洁政府建设，一体化推进不敢腐、不能腐、不想腐；强化审计监督，健全廉政风险防控制度。</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0" w:hRule="atLeast"/>
        </w:trPr>
        <w:tc>
          <w:tcPr>
            <w:tcW w:w="1433" w:type="dxa"/>
            <w:vAlign w:val="center"/>
          </w:tcPr>
          <w:p>
            <w:pPr>
              <w:spacing w:line="260" w:lineRule="exact"/>
              <w:rPr>
                <w:rFonts w:ascii="Times New Roman" w:hAnsi="Times New Roman" w:cs="Times New Roman"/>
                <w:b/>
                <w:bCs/>
                <w:color w:val="auto"/>
                <w:sz w:val="21"/>
                <w:szCs w:val="21"/>
              </w:rPr>
            </w:pPr>
            <w:r>
              <w:rPr>
                <w:rFonts w:hint="eastAsia" w:ascii="Times New Roman" w:hAnsi="Times New Roman" w:cs="Times New Roman" w:eastAsiaTheme="majorEastAsia"/>
                <w:b/>
                <w:bCs/>
                <w:color w:val="auto"/>
                <w:sz w:val="22"/>
                <w:lang w:val="en-US" w:eastAsia="zh-CN"/>
              </w:rPr>
              <w:t>10</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平安建设（</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8%）</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重点围绕政法工作开展情况进行评价，包括扫黑除恶，依法打击违法犯罪行为；加强社会治安管理和风险防范；加强基层综合治理，有效化解社会矛盾；强化安全教育和民主法治建设。</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3" w:hRule="atLeast"/>
        </w:trPr>
        <w:tc>
          <w:tcPr>
            <w:tcW w:w="965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ajorEastAsia" w:hAnsiTheme="majorEastAsia" w:eastAsiaTheme="majorEastAsia" w:cstheme="majorEastAsia"/>
          <w:color w:val="auto"/>
          <w:sz w:val="24"/>
          <w:szCs w:val="24"/>
        </w:rPr>
      </w:pPr>
    </w:p>
    <w:bookmarkEnd w:id="0"/>
    <w:bookmarkEnd w:id="1"/>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小标宋_GBK" w:hAnsi="方正小标宋_GBK" w:eastAsia="方正小标宋_GBK" w:cs="方正小标宋_GBK"/>
          <w:bCs/>
          <w:color w:val="auto"/>
          <w:sz w:val="44"/>
          <w:szCs w:val="44"/>
          <w:lang w:eastAsia="zh-CN"/>
        </w:rPr>
        <w:sectPr>
          <w:pgSz w:w="11906" w:h="16838"/>
          <w:pgMar w:top="1417" w:right="1587" w:bottom="1417" w:left="1587" w:header="851" w:footer="992" w:gutter="0"/>
          <w:pgNumType w:fmt="decimal" w:start="1"/>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lang w:eastAsia="zh-CN"/>
        </w:rPr>
        <w:t>附录</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小标宋_GBK" w:hAnsi="方正小标宋_GBK" w:eastAsia="方正小标宋_GBK" w:cs="方正小标宋_GBK"/>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bCs w:val="0"/>
          <w:color w:val="auto"/>
          <w:sz w:val="32"/>
          <w:szCs w:val="32"/>
          <w:lang w:val="en-US" w:eastAsia="zh-CN"/>
        </w:rPr>
      </w:pPr>
      <w:r>
        <w:rPr>
          <w:rFonts w:hint="eastAsia" w:ascii="方正小标宋_GBK" w:hAnsi="方正小标宋_GBK" w:eastAsia="方正小标宋_GBK" w:cs="方正小标宋_GBK"/>
          <w:bCs/>
          <w:color w:val="auto"/>
          <w:sz w:val="44"/>
          <w:szCs w:val="44"/>
          <w:lang w:eastAsia="zh-CN"/>
        </w:rPr>
        <w:t>被评议对象分类名单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lang w:val="en-US" w:eastAsia="zh-CN"/>
        </w:rPr>
        <w:t>将被评单位分为党群、人大政协等机关及其它部门、政府工作部门、中央、省驻市单位、各区党委政府四类，共计84个被评单位。具体如下：</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rPr>
      </w:pPr>
      <w:r>
        <w:rPr>
          <w:rFonts w:hint="eastAsia" w:ascii="Times New Roman" w:hAnsi="Times New Roman" w:eastAsia="方正黑体_GBK" w:cs="方正黑体_GBK"/>
          <w:b w:val="0"/>
          <w:bCs/>
          <w:color w:val="auto"/>
          <w:sz w:val="32"/>
          <w:szCs w:val="32"/>
          <w:lang w:val="en-US" w:eastAsia="zh-CN"/>
        </w:rPr>
        <w:t>一、</w:t>
      </w:r>
      <w:r>
        <w:rPr>
          <w:rFonts w:hint="eastAsia" w:ascii="Times New Roman" w:hAnsi="Times New Roman" w:eastAsia="方正黑体_GBK" w:cs="方正黑体_GBK"/>
          <w:color w:val="auto"/>
          <w:spacing w:val="0"/>
          <w:sz w:val="32"/>
          <w:szCs w:val="32"/>
        </w:rPr>
        <w:t>党群、人大</w:t>
      </w:r>
      <w:r>
        <w:rPr>
          <w:rFonts w:hint="eastAsia" w:ascii="Times New Roman" w:hAnsi="Times New Roman" w:eastAsia="方正黑体_GBK" w:cs="方正黑体_GBK"/>
          <w:color w:val="auto"/>
          <w:spacing w:val="0"/>
          <w:sz w:val="32"/>
          <w:szCs w:val="32"/>
          <w:lang w:eastAsia="zh-CN"/>
        </w:rPr>
        <w:t>、</w:t>
      </w:r>
      <w:r>
        <w:rPr>
          <w:rFonts w:hint="eastAsia" w:ascii="Times New Roman" w:hAnsi="Times New Roman" w:eastAsia="方正黑体_GBK" w:cs="方正黑体_GBK"/>
          <w:color w:val="auto"/>
          <w:spacing w:val="0"/>
          <w:sz w:val="32"/>
          <w:szCs w:val="32"/>
        </w:rPr>
        <w:t>政协等机关及其他部门</w:t>
      </w:r>
      <w:r>
        <w:rPr>
          <w:rFonts w:hint="eastAsia" w:ascii="Times New Roman" w:hAnsi="Times New Roman" w:eastAsia="方正黑体_GBK" w:cs="方正黑体_GBK"/>
          <w:b w:val="0"/>
          <w:bCs/>
          <w:sz w:val="32"/>
          <w:szCs w:val="32"/>
        </w:rPr>
        <w:t>（</w:t>
      </w:r>
      <w:r>
        <w:rPr>
          <w:rFonts w:hint="default" w:ascii="Times New Roman" w:hAnsi="Times New Roman" w:eastAsia="方正黑体_GBK" w:cs="Times New Roman"/>
          <w:b w:val="0"/>
          <w:bCs/>
          <w:sz w:val="32"/>
          <w:szCs w:val="32"/>
        </w:rPr>
        <w:t>4</w:t>
      </w:r>
      <w:r>
        <w:rPr>
          <w:rFonts w:hint="default" w:ascii="Times New Roman" w:hAnsi="Times New Roman" w:eastAsia="方正黑体_GBK" w:cs="Times New Roman"/>
          <w:b w:val="0"/>
          <w:bCs/>
          <w:sz w:val="32"/>
          <w:szCs w:val="32"/>
          <w:lang w:val="en-US" w:eastAsia="zh-CN"/>
        </w:rPr>
        <w:t>4</w:t>
      </w:r>
      <w:r>
        <w:rPr>
          <w:rFonts w:hint="eastAsia" w:ascii="Times New Roman" w:hAnsi="Times New Roman" w:eastAsia="方正黑体_GBK" w:cs="方正黑体_GBK"/>
          <w:b w:val="0"/>
          <w:bCs/>
          <w:sz w:val="32"/>
          <w:szCs w:val="32"/>
        </w:rPr>
        <w:t>个）</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纪委（市监委，含市委巡察办）、市委办公室、市委组织部、市委宣传部、市委统战部（市民族事务局）、市委社会工作部、市委政法委、市委政研室、市委网信办、市委外办〈市外事办）、市委编办、市委军民融合办（市人防办）、市委市直机关工委、市委保密和机要局、市委精神文明爱卫办、市委督查考评办、市委党校、市史志办；</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市人大机关、市政协机关；</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市中级人民法院、市人民检察院、市城郊人民法院、市城郊人民检察院；</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市总工会、团市委、市妇联、市科协、市文联、市残联、市华联、市台联、市贸促会、市工商联（总商会）、市社科联、市红十字会；</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民革市委机关、民盟市委机关、民建市委机关、民进市委机关、农工党市委机关、致公党市委机关、九三学社市委机关、台盟市委机关</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黑体_GBK" w:cs="方正黑体_GBK"/>
          <w:b w:val="0"/>
          <w:bCs/>
          <w:color w:val="auto"/>
          <w:sz w:val="32"/>
          <w:szCs w:val="32"/>
        </w:rPr>
      </w:pPr>
      <w:r>
        <w:rPr>
          <w:rFonts w:hint="eastAsia" w:ascii="Times New Roman" w:hAnsi="Times New Roman" w:eastAsia="方正黑体_GBK" w:cs="方正黑体_GBK"/>
          <w:b w:val="0"/>
          <w:bCs/>
          <w:color w:val="auto"/>
          <w:sz w:val="32"/>
          <w:szCs w:val="32"/>
          <w:lang w:val="en-US" w:eastAsia="zh-CN"/>
        </w:rPr>
        <w:t>二、</w:t>
      </w:r>
      <w:r>
        <w:rPr>
          <w:rFonts w:hint="eastAsia" w:ascii="Times New Roman" w:hAnsi="Times New Roman" w:eastAsia="方正黑体_GBK" w:cs="方正黑体_GBK"/>
          <w:color w:val="auto"/>
          <w:spacing w:val="0"/>
          <w:kern w:val="0"/>
          <w:sz w:val="32"/>
          <w:szCs w:val="32"/>
        </w:rPr>
        <w:t>政府工作部门、派出机构</w:t>
      </w:r>
      <w:r>
        <w:rPr>
          <w:rFonts w:hint="eastAsia" w:ascii="Times New Roman" w:hAnsi="Times New Roman" w:eastAsia="方正黑体_GBK" w:cs="方正黑体_GBK"/>
          <w:b w:val="0"/>
          <w:bCs/>
          <w:color w:val="auto"/>
          <w:sz w:val="32"/>
          <w:szCs w:val="32"/>
        </w:rPr>
        <w:t>（</w:t>
      </w:r>
      <w:r>
        <w:rPr>
          <w:rFonts w:hint="default" w:ascii="Times New Roman" w:hAnsi="Times New Roman" w:eastAsia="方正黑体_GBK" w:cs="Times New Roman"/>
          <w:b w:val="0"/>
          <w:bCs/>
          <w:color w:val="auto"/>
          <w:sz w:val="32"/>
          <w:szCs w:val="32"/>
        </w:rPr>
        <w:t>34</w:t>
      </w:r>
      <w:r>
        <w:rPr>
          <w:rFonts w:hint="eastAsia" w:ascii="Times New Roman" w:hAnsi="Times New Roman" w:eastAsia="方正黑体_GBK" w:cs="方正黑体_GBK"/>
          <w:b w:val="0"/>
          <w:bCs/>
          <w:color w:val="auto"/>
          <w:sz w:val="32"/>
          <w:szCs w:val="32"/>
        </w:rPr>
        <w:t>个）</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政府办公室、市发展改革委、市营商环境建设局、市自然资源和规划局、市旅游和文化广电体育局、市生态环境局、市农业农村局、市科技工业信息化局、市商务局、市财政局、市人力资源社会保障局、市教育局、市卫生健康委（市计生协）、市公安局、市司法局、市民政局、市市场监管局、市住房城乡建设局、市交通运输局、市审计局、市综合行政执法局、市水务局、市退役军人事务局、市应急管理局、市国资委、市统计局、市林业局、市医保局、市机关事务管理局、市科工委、市供销社、市社保服务中心；</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市育才生态区工委（管委会）、市现代服务业产业园工委（管委会）。</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val="en-US" w:eastAsia="zh-CN"/>
        </w:rPr>
        <w:t>三、</w:t>
      </w:r>
      <w:r>
        <w:rPr>
          <w:rFonts w:hint="eastAsia" w:ascii="Times New Roman" w:hAnsi="Times New Roman" w:eastAsia="方正黑体_GBK" w:cs="方正黑体_GBK"/>
          <w:b w:val="0"/>
          <w:bCs/>
          <w:color w:val="auto"/>
          <w:sz w:val="32"/>
          <w:szCs w:val="32"/>
          <w:lang w:eastAsia="zh-CN"/>
        </w:rPr>
        <w:t>中央、省驻市单位（</w:t>
      </w:r>
      <w:r>
        <w:rPr>
          <w:rFonts w:hint="default" w:ascii="Times New Roman" w:hAnsi="Times New Roman" w:eastAsia="方正黑体_GBK" w:cs="Times New Roman"/>
          <w:b w:val="0"/>
          <w:bCs/>
          <w:color w:val="auto"/>
          <w:sz w:val="32"/>
          <w:szCs w:val="32"/>
          <w:lang w:val="en-US" w:eastAsia="zh-CN"/>
        </w:rPr>
        <w:t>2</w:t>
      </w:r>
      <w:r>
        <w:rPr>
          <w:rFonts w:hint="eastAsia" w:ascii="Times New Roman" w:hAnsi="Times New Roman" w:eastAsia="方正黑体_GBK" w:cs="方正黑体_GBK"/>
          <w:b w:val="0"/>
          <w:bCs/>
          <w:color w:val="auto"/>
          <w:sz w:val="32"/>
          <w:szCs w:val="32"/>
          <w:lang w:val="en-US" w:eastAsia="zh-CN"/>
        </w:rPr>
        <w:t>个</w:t>
      </w:r>
      <w:r>
        <w:rPr>
          <w:rFonts w:hint="eastAsia" w:ascii="Times New Roman" w:hAnsi="Times New Roman" w:eastAsia="方正黑体_GBK" w:cs="方正黑体_GBK"/>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仿宋_GB2312"/>
          <w:bCs/>
          <w:color w:val="auto"/>
          <w:sz w:val="32"/>
          <w:szCs w:val="32"/>
          <w:lang w:eastAsia="zh-CN"/>
        </w:rPr>
      </w:pPr>
      <w:r>
        <w:rPr>
          <w:rFonts w:hint="eastAsia" w:ascii="Times New Roman" w:hAnsi="Times New Roman" w:eastAsia="仿宋_GB2312" w:cs="仿宋_GB2312"/>
          <w:bCs/>
          <w:color w:val="auto"/>
          <w:sz w:val="32"/>
          <w:szCs w:val="32"/>
          <w:lang w:eastAsia="zh-CN"/>
        </w:rPr>
        <w:t>国家统计局三亚调查队、三亚市气象局</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黑体_GBK" w:cs="方正黑体_GBK"/>
          <w:b w:val="0"/>
          <w:bCs/>
          <w:color w:val="auto"/>
          <w:sz w:val="32"/>
          <w:szCs w:val="32"/>
        </w:rPr>
      </w:pPr>
      <w:r>
        <w:rPr>
          <w:rFonts w:hint="eastAsia" w:ascii="Times New Roman" w:hAnsi="Times New Roman" w:eastAsia="方正黑体_GBK" w:cs="方正黑体_GBK"/>
          <w:b w:val="0"/>
          <w:bCs/>
          <w:color w:val="auto"/>
          <w:sz w:val="32"/>
          <w:szCs w:val="32"/>
          <w:lang w:val="en-US" w:eastAsia="zh-CN"/>
        </w:rPr>
        <w:t>四、</w:t>
      </w:r>
      <w:r>
        <w:rPr>
          <w:rFonts w:hint="eastAsia" w:ascii="Times New Roman" w:hAnsi="Times New Roman" w:eastAsia="方正黑体_GBK" w:cs="方正黑体_GBK"/>
          <w:b w:val="0"/>
          <w:bCs/>
          <w:color w:val="auto"/>
          <w:sz w:val="32"/>
          <w:szCs w:val="32"/>
          <w:lang w:eastAsia="zh-CN"/>
        </w:rPr>
        <w:t>各区</w:t>
      </w:r>
      <w:r>
        <w:rPr>
          <w:rFonts w:hint="eastAsia" w:ascii="Times New Roman" w:hAnsi="Times New Roman" w:eastAsia="方正黑体_GBK" w:cs="方正黑体_GBK"/>
          <w:b w:val="0"/>
          <w:bCs/>
          <w:color w:val="auto"/>
          <w:sz w:val="32"/>
          <w:szCs w:val="32"/>
        </w:rPr>
        <w:t>（</w:t>
      </w:r>
      <w:r>
        <w:rPr>
          <w:rFonts w:hint="default" w:ascii="Times New Roman" w:hAnsi="Times New Roman" w:eastAsia="方正黑体_GBK" w:cs="Times New Roman"/>
          <w:b w:val="0"/>
          <w:bCs/>
          <w:color w:val="auto"/>
          <w:sz w:val="32"/>
          <w:szCs w:val="32"/>
        </w:rPr>
        <w:t>4</w:t>
      </w:r>
      <w:r>
        <w:rPr>
          <w:rFonts w:hint="eastAsia" w:ascii="Times New Roman" w:hAnsi="Times New Roman" w:eastAsia="方正黑体_GBK" w:cs="方正黑体_GBK"/>
          <w:b w:val="0"/>
          <w:bCs/>
          <w:color w:val="auto"/>
          <w:sz w:val="32"/>
          <w:szCs w:val="32"/>
        </w:rPr>
        <w:t>个）</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天涯区、吉阳区、海棠区、崖州区。</w:t>
      </w:r>
    </w:p>
    <w:p>
      <w:pPr>
        <w:pStyle w:val="2"/>
        <w:rPr>
          <w:rFonts w:hint="default"/>
          <w:color w:val="auto"/>
          <w:lang w:val="en-US" w:eastAsia="zh-CN"/>
        </w:rPr>
      </w:pPr>
    </w:p>
    <w:sectPr>
      <w:pgSz w:w="11906" w:h="16838"/>
      <w:pgMar w:top="1417" w:right="1587" w:bottom="1417" w:left="1587" w:header="851" w:footer="992" w:gutter="0"/>
      <w:pgNumType w:fmt="decimal" w:start="1"/>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2049" o:spid="_x0000_s2049" o:spt="202" type="#_x0000_t202" style="position:absolute;left:0pt;margin-top:2.9pt;height:144pt;width:24.15pt;mso-position-horizontal:outside;mso-position-horizontal-relative:margin;z-index:251659264;mso-width-relative:page;mso-height-relative:page;" filled="f" stroked="f" coordsize="21600,21600">
          <v:path/>
          <v:fill on="f" focussize="0,0"/>
          <v:stroke on="f" weight="1.25pt"/>
          <v:imagedata o:title=""/>
          <o:lock v:ext="edit" aspectratio="f"/>
          <v:textbox inset="0mm,0mm,0mm,0mm" style="mso-fit-shape-to-text:t;">
            <w:txbxContent>
              <w:p>
                <w:pPr>
                  <w:pStyle w:val="6"/>
                  <w:rPr>
                    <w:rStyle w:val="11"/>
                    <w:rFonts w:hint="eastAsia" w:eastAsia="宋体"/>
                    <w:sz w:val="28"/>
                    <w:szCs w:val="28"/>
                    <w:lang w:eastAsia="zh-CN"/>
                  </w:rPr>
                </w:pPr>
                <w:r>
                  <w:rPr>
                    <w:rStyle w:val="11"/>
                    <w:rFonts w:hint="eastAsia"/>
                    <w:sz w:val="28"/>
                    <w:szCs w:val="28"/>
                    <w:lang w:eastAsia="zh-CN"/>
                  </w:rPr>
                  <w:t xml:space="preserve">— </w:t>
                </w:r>
                <w:r>
                  <w:rPr>
                    <w:rStyle w:val="11"/>
                    <w:rFonts w:hint="eastAsia"/>
                    <w:sz w:val="28"/>
                    <w:szCs w:val="28"/>
                    <w:lang w:eastAsia="zh-CN"/>
                  </w:rPr>
                  <w:fldChar w:fldCharType="begin"/>
                </w:r>
                <w:r>
                  <w:rPr>
                    <w:rStyle w:val="11"/>
                    <w:rFonts w:hint="eastAsia"/>
                    <w:sz w:val="28"/>
                    <w:szCs w:val="28"/>
                    <w:lang w:eastAsia="zh-CN"/>
                  </w:rPr>
                  <w:instrText xml:space="preserve"> PAGE  \* MERGEFORMAT </w:instrText>
                </w:r>
                <w:r>
                  <w:rPr>
                    <w:rStyle w:val="11"/>
                    <w:rFonts w:hint="eastAsia"/>
                    <w:sz w:val="28"/>
                    <w:szCs w:val="28"/>
                    <w:lang w:eastAsia="zh-CN"/>
                  </w:rPr>
                  <w:fldChar w:fldCharType="separate"/>
                </w:r>
                <w:r>
                  <w:rPr>
                    <w:rStyle w:val="11"/>
                    <w:rFonts w:hint="eastAsia"/>
                    <w:sz w:val="28"/>
                    <w:szCs w:val="28"/>
                    <w:lang w:eastAsia="zh-CN"/>
                  </w:rPr>
                  <w:t>- 1 -</w:t>
                </w:r>
                <w:r>
                  <w:rPr>
                    <w:rStyle w:val="11"/>
                    <w:rFonts w:hint="eastAsia"/>
                    <w:sz w:val="28"/>
                    <w:szCs w:val="28"/>
                    <w:lang w:eastAsia="zh-CN"/>
                  </w:rPr>
                  <w:fldChar w:fldCharType="end"/>
                </w:r>
                <w:r>
                  <w:rPr>
                    <w:rStyle w:val="11"/>
                    <w:rFonts w:hint="eastAsia"/>
                    <w:sz w:val="28"/>
                    <w:szCs w:val="28"/>
                    <w:lang w:eastAsia="zh-CN"/>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2050" o:spid="_x0000_s2050" o:spt="202" type="#_x0000_t202" style="position:absolute;left:0pt;margin-top:2.9pt;height:144pt;width:55.8pt;mso-position-horizontal:outside;mso-position-horizontal-relative:margin;z-index:251660288;mso-width-relative:page;mso-height-relative:page;" filled="f" stroked="f" coordsize="21600,21600">
          <v:path/>
          <v:fill on="f" focussize="0,0"/>
          <v:stroke on="f" weight="1.25pt"/>
          <v:imagedata o:title=""/>
          <o:lock v:ext="edit" aspectratio="f"/>
          <v:textbox inset="0mm,0mm,0mm,0mm" style="mso-fit-shape-to-text:t;">
            <w:txbxContent>
              <w:p>
                <w:pPr>
                  <w:pStyle w:val="6"/>
                  <w:rPr>
                    <w:rStyle w:val="11"/>
                    <w:rFonts w:hint="eastAsia" w:ascii="仿宋" w:hAnsi="仿宋" w:eastAsia="仿宋" w:cs="仿宋"/>
                    <w:sz w:val="24"/>
                    <w:szCs w:val="24"/>
                    <w:lang w:eastAsia="zh-CN"/>
                  </w:rPr>
                </w:pPr>
                <w:r>
                  <w:rPr>
                    <w:rStyle w:val="11"/>
                    <w:rFonts w:hint="eastAsia" w:ascii="仿宋" w:hAnsi="仿宋" w:eastAsia="仿宋" w:cs="仿宋"/>
                    <w:sz w:val="24"/>
                    <w:szCs w:val="24"/>
                    <w:lang w:eastAsia="zh-CN"/>
                  </w:rPr>
                  <w:t xml:space="preserve">— </w:t>
                </w:r>
                <w:r>
                  <w:rPr>
                    <w:rStyle w:val="11"/>
                    <w:rFonts w:hint="eastAsia" w:ascii="仿宋" w:hAnsi="仿宋" w:eastAsia="仿宋" w:cs="仿宋"/>
                    <w:sz w:val="24"/>
                    <w:szCs w:val="24"/>
                    <w:lang w:eastAsia="zh-CN"/>
                  </w:rPr>
                  <w:fldChar w:fldCharType="begin"/>
                </w:r>
                <w:r>
                  <w:rPr>
                    <w:rStyle w:val="11"/>
                    <w:rFonts w:hint="eastAsia" w:ascii="仿宋" w:hAnsi="仿宋" w:eastAsia="仿宋" w:cs="仿宋"/>
                    <w:sz w:val="24"/>
                    <w:szCs w:val="24"/>
                    <w:lang w:eastAsia="zh-CN"/>
                  </w:rPr>
                  <w:instrText xml:space="preserve"> PAGE  \* MERGEFORMAT </w:instrText>
                </w:r>
                <w:r>
                  <w:rPr>
                    <w:rStyle w:val="11"/>
                    <w:rFonts w:hint="eastAsia" w:ascii="仿宋" w:hAnsi="仿宋" w:eastAsia="仿宋" w:cs="仿宋"/>
                    <w:sz w:val="24"/>
                    <w:szCs w:val="24"/>
                    <w:lang w:eastAsia="zh-CN"/>
                  </w:rPr>
                  <w:fldChar w:fldCharType="separate"/>
                </w:r>
                <w:r>
                  <w:rPr>
                    <w:rStyle w:val="11"/>
                    <w:rFonts w:hint="eastAsia" w:ascii="仿宋" w:hAnsi="仿宋" w:eastAsia="仿宋" w:cs="仿宋"/>
                    <w:sz w:val="24"/>
                    <w:szCs w:val="24"/>
                    <w:lang w:eastAsia="zh-CN"/>
                  </w:rPr>
                  <w:t>1</w:t>
                </w:r>
                <w:r>
                  <w:rPr>
                    <w:rStyle w:val="11"/>
                    <w:rFonts w:hint="eastAsia" w:ascii="仿宋" w:hAnsi="仿宋" w:eastAsia="仿宋" w:cs="仿宋"/>
                    <w:sz w:val="24"/>
                    <w:szCs w:val="24"/>
                    <w:lang w:eastAsia="zh-CN"/>
                  </w:rPr>
                  <w:fldChar w:fldCharType="end"/>
                </w:r>
                <w:r>
                  <w:rPr>
                    <w:rStyle w:val="11"/>
                    <w:rFonts w:hint="eastAsia" w:ascii="仿宋" w:hAnsi="仿宋" w:eastAsia="仿宋" w:cs="仿宋"/>
                    <w:sz w:val="24"/>
                    <w:szCs w:val="24"/>
                    <w:lang w:eastAsia="zh-CN"/>
                  </w:rPr>
                  <w:t xml:space="preserve"> —</w:t>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40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52F539A"/>
    <w:multiLevelType w:val="singleLevel"/>
    <w:tmpl w:val="552F539A"/>
    <w:lvl w:ilvl="0" w:tentative="0">
      <w:start w:val="3"/>
      <w:numFmt w:val="decimal"/>
      <w:suff w:val="nothing"/>
      <w:lvlText w:val="（%1）"/>
      <w:lvlJc w:val="left"/>
    </w:lvl>
  </w:abstractNum>
  <w:abstractNum w:abstractNumId="2">
    <w:nsid w:val="6548BBF5"/>
    <w:multiLevelType w:val="singleLevel"/>
    <w:tmpl w:val="6548BBF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74321"/>
    <w:rsid w:val="0007758A"/>
    <w:rsid w:val="000F39B1"/>
    <w:rsid w:val="001C401F"/>
    <w:rsid w:val="0022132F"/>
    <w:rsid w:val="002448C0"/>
    <w:rsid w:val="002B3706"/>
    <w:rsid w:val="002C5C58"/>
    <w:rsid w:val="00343F56"/>
    <w:rsid w:val="00366C0C"/>
    <w:rsid w:val="003E4626"/>
    <w:rsid w:val="00426C03"/>
    <w:rsid w:val="00454647"/>
    <w:rsid w:val="0046761B"/>
    <w:rsid w:val="004A2DA7"/>
    <w:rsid w:val="004A49A2"/>
    <w:rsid w:val="004D0CF4"/>
    <w:rsid w:val="004E38A6"/>
    <w:rsid w:val="004F690D"/>
    <w:rsid w:val="00526B9A"/>
    <w:rsid w:val="00542D18"/>
    <w:rsid w:val="005451BE"/>
    <w:rsid w:val="005875A8"/>
    <w:rsid w:val="005A6C6A"/>
    <w:rsid w:val="005B7673"/>
    <w:rsid w:val="005C122F"/>
    <w:rsid w:val="005F7574"/>
    <w:rsid w:val="00610FB4"/>
    <w:rsid w:val="0067728D"/>
    <w:rsid w:val="006B62EE"/>
    <w:rsid w:val="006C47F4"/>
    <w:rsid w:val="006E3C64"/>
    <w:rsid w:val="00717923"/>
    <w:rsid w:val="007731D1"/>
    <w:rsid w:val="00794717"/>
    <w:rsid w:val="007B6A57"/>
    <w:rsid w:val="007C42AE"/>
    <w:rsid w:val="007E3A9C"/>
    <w:rsid w:val="00821317"/>
    <w:rsid w:val="00853C65"/>
    <w:rsid w:val="008D1342"/>
    <w:rsid w:val="008F7D9D"/>
    <w:rsid w:val="00905B4F"/>
    <w:rsid w:val="009501E9"/>
    <w:rsid w:val="00986953"/>
    <w:rsid w:val="0099472E"/>
    <w:rsid w:val="009C55AB"/>
    <w:rsid w:val="009F03C1"/>
    <w:rsid w:val="00A42B72"/>
    <w:rsid w:val="00A55AAE"/>
    <w:rsid w:val="00A6206D"/>
    <w:rsid w:val="00A740B1"/>
    <w:rsid w:val="00A77AE0"/>
    <w:rsid w:val="00A83349"/>
    <w:rsid w:val="00A90669"/>
    <w:rsid w:val="00AB018D"/>
    <w:rsid w:val="00AE0D77"/>
    <w:rsid w:val="00BF2035"/>
    <w:rsid w:val="00C74225"/>
    <w:rsid w:val="00CC7C05"/>
    <w:rsid w:val="00D06229"/>
    <w:rsid w:val="00DA2601"/>
    <w:rsid w:val="00DA32DA"/>
    <w:rsid w:val="00DA3DD1"/>
    <w:rsid w:val="00DF0ED5"/>
    <w:rsid w:val="00DF5420"/>
    <w:rsid w:val="00E01DF5"/>
    <w:rsid w:val="00E571F3"/>
    <w:rsid w:val="00E70880"/>
    <w:rsid w:val="00EB0AA8"/>
    <w:rsid w:val="00F30DB2"/>
    <w:rsid w:val="00F3612C"/>
    <w:rsid w:val="00F56063"/>
    <w:rsid w:val="00FB6824"/>
    <w:rsid w:val="00FD1F2A"/>
    <w:rsid w:val="01256C47"/>
    <w:rsid w:val="012C34C3"/>
    <w:rsid w:val="01613C95"/>
    <w:rsid w:val="01A40627"/>
    <w:rsid w:val="01BC73B7"/>
    <w:rsid w:val="01C55775"/>
    <w:rsid w:val="01D44071"/>
    <w:rsid w:val="01EA77CC"/>
    <w:rsid w:val="01FD58CF"/>
    <w:rsid w:val="01FF4654"/>
    <w:rsid w:val="021D10C9"/>
    <w:rsid w:val="022F475A"/>
    <w:rsid w:val="02735CCD"/>
    <w:rsid w:val="02867DB1"/>
    <w:rsid w:val="029F59B5"/>
    <w:rsid w:val="02B42654"/>
    <w:rsid w:val="02FA3971"/>
    <w:rsid w:val="035C2B11"/>
    <w:rsid w:val="03633F1C"/>
    <w:rsid w:val="03911901"/>
    <w:rsid w:val="03E55D45"/>
    <w:rsid w:val="03FE72A4"/>
    <w:rsid w:val="044D121D"/>
    <w:rsid w:val="045E5267"/>
    <w:rsid w:val="04A8684A"/>
    <w:rsid w:val="04CC6AB9"/>
    <w:rsid w:val="04F739B0"/>
    <w:rsid w:val="04FF7551"/>
    <w:rsid w:val="050C0533"/>
    <w:rsid w:val="05201489"/>
    <w:rsid w:val="056D613E"/>
    <w:rsid w:val="05847DBA"/>
    <w:rsid w:val="05900AAD"/>
    <w:rsid w:val="060774CB"/>
    <w:rsid w:val="060E53E8"/>
    <w:rsid w:val="062D501F"/>
    <w:rsid w:val="068A220E"/>
    <w:rsid w:val="06927C7F"/>
    <w:rsid w:val="06B578E5"/>
    <w:rsid w:val="071355BC"/>
    <w:rsid w:val="072D2B1C"/>
    <w:rsid w:val="0731601B"/>
    <w:rsid w:val="075930FE"/>
    <w:rsid w:val="075C36FA"/>
    <w:rsid w:val="075D0558"/>
    <w:rsid w:val="076C5A1F"/>
    <w:rsid w:val="07C06237"/>
    <w:rsid w:val="08715BC8"/>
    <w:rsid w:val="088C1926"/>
    <w:rsid w:val="089202CE"/>
    <w:rsid w:val="08A34DB8"/>
    <w:rsid w:val="08F94B53"/>
    <w:rsid w:val="095B625D"/>
    <w:rsid w:val="09670EB6"/>
    <w:rsid w:val="097D066A"/>
    <w:rsid w:val="09B671C4"/>
    <w:rsid w:val="09BB7C65"/>
    <w:rsid w:val="09DC2532"/>
    <w:rsid w:val="09F432B0"/>
    <w:rsid w:val="0A07759B"/>
    <w:rsid w:val="0A9A2012"/>
    <w:rsid w:val="0A9F56AB"/>
    <w:rsid w:val="0AC70085"/>
    <w:rsid w:val="0B1301BC"/>
    <w:rsid w:val="0B517494"/>
    <w:rsid w:val="0B7754C8"/>
    <w:rsid w:val="0B915DBD"/>
    <w:rsid w:val="0B9C6646"/>
    <w:rsid w:val="0BC309DC"/>
    <w:rsid w:val="0BE1300C"/>
    <w:rsid w:val="0BEC3079"/>
    <w:rsid w:val="0BF20130"/>
    <w:rsid w:val="0BF63EAB"/>
    <w:rsid w:val="0C0156C7"/>
    <w:rsid w:val="0C3C7578"/>
    <w:rsid w:val="0C5D5E86"/>
    <w:rsid w:val="0C6934BC"/>
    <w:rsid w:val="0C803FCB"/>
    <w:rsid w:val="0C8E63F3"/>
    <w:rsid w:val="0C903597"/>
    <w:rsid w:val="0CFD0E38"/>
    <w:rsid w:val="0D0511F9"/>
    <w:rsid w:val="0D0D2BEC"/>
    <w:rsid w:val="0D13120C"/>
    <w:rsid w:val="0D614DE1"/>
    <w:rsid w:val="0D705521"/>
    <w:rsid w:val="0D8A5F74"/>
    <w:rsid w:val="0DBC3817"/>
    <w:rsid w:val="0DF271C2"/>
    <w:rsid w:val="0E051C66"/>
    <w:rsid w:val="0E1B4838"/>
    <w:rsid w:val="0E1D5F8D"/>
    <w:rsid w:val="0E7D0720"/>
    <w:rsid w:val="0ECA1B1B"/>
    <w:rsid w:val="0EEE204F"/>
    <w:rsid w:val="0EFB4523"/>
    <w:rsid w:val="0F091E2A"/>
    <w:rsid w:val="0F4B342C"/>
    <w:rsid w:val="0F896F43"/>
    <w:rsid w:val="0FC02A96"/>
    <w:rsid w:val="10171524"/>
    <w:rsid w:val="101A5831"/>
    <w:rsid w:val="101D3AD0"/>
    <w:rsid w:val="107C6E36"/>
    <w:rsid w:val="10816F2C"/>
    <w:rsid w:val="10E57014"/>
    <w:rsid w:val="1100726E"/>
    <w:rsid w:val="113664BF"/>
    <w:rsid w:val="119414A3"/>
    <w:rsid w:val="11A642FA"/>
    <w:rsid w:val="11A72678"/>
    <w:rsid w:val="11B64A05"/>
    <w:rsid w:val="11FC4B10"/>
    <w:rsid w:val="12116FD6"/>
    <w:rsid w:val="123D291E"/>
    <w:rsid w:val="123E17C4"/>
    <w:rsid w:val="125C25AB"/>
    <w:rsid w:val="12B918C1"/>
    <w:rsid w:val="12C54D0B"/>
    <w:rsid w:val="13150D23"/>
    <w:rsid w:val="132605BB"/>
    <w:rsid w:val="133E6001"/>
    <w:rsid w:val="134C6FFD"/>
    <w:rsid w:val="136F4A87"/>
    <w:rsid w:val="13734F3C"/>
    <w:rsid w:val="13780E98"/>
    <w:rsid w:val="13BB37EC"/>
    <w:rsid w:val="13CA7D9F"/>
    <w:rsid w:val="13D40C6E"/>
    <w:rsid w:val="13E5685C"/>
    <w:rsid w:val="143471CF"/>
    <w:rsid w:val="14AF1738"/>
    <w:rsid w:val="14CA1A92"/>
    <w:rsid w:val="14D80741"/>
    <w:rsid w:val="14E074EB"/>
    <w:rsid w:val="14EE01ED"/>
    <w:rsid w:val="150E433D"/>
    <w:rsid w:val="15422CF6"/>
    <w:rsid w:val="154701DF"/>
    <w:rsid w:val="155753EB"/>
    <w:rsid w:val="156E6848"/>
    <w:rsid w:val="157A2362"/>
    <w:rsid w:val="1590172E"/>
    <w:rsid w:val="159C7C0A"/>
    <w:rsid w:val="15CA6256"/>
    <w:rsid w:val="15E03E28"/>
    <w:rsid w:val="160B1DB7"/>
    <w:rsid w:val="168E0935"/>
    <w:rsid w:val="16C129F4"/>
    <w:rsid w:val="16DB128F"/>
    <w:rsid w:val="16E720F0"/>
    <w:rsid w:val="16FA54CB"/>
    <w:rsid w:val="17087511"/>
    <w:rsid w:val="1732039F"/>
    <w:rsid w:val="174333A2"/>
    <w:rsid w:val="176D2DA0"/>
    <w:rsid w:val="176D4D21"/>
    <w:rsid w:val="1788002A"/>
    <w:rsid w:val="178A5C30"/>
    <w:rsid w:val="179C2AB5"/>
    <w:rsid w:val="17C92D4D"/>
    <w:rsid w:val="17F80E97"/>
    <w:rsid w:val="182F794F"/>
    <w:rsid w:val="186939C8"/>
    <w:rsid w:val="187D5D0B"/>
    <w:rsid w:val="18946360"/>
    <w:rsid w:val="191036A8"/>
    <w:rsid w:val="19112FD0"/>
    <w:rsid w:val="191400E0"/>
    <w:rsid w:val="192E1630"/>
    <w:rsid w:val="19311A8E"/>
    <w:rsid w:val="19437273"/>
    <w:rsid w:val="19457A22"/>
    <w:rsid w:val="19652726"/>
    <w:rsid w:val="19B4768D"/>
    <w:rsid w:val="1A2E1ADF"/>
    <w:rsid w:val="1A2F23A5"/>
    <w:rsid w:val="1A9B2CC3"/>
    <w:rsid w:val="1B011ECB"/>
    <w:rsid w:val="1B047EBD"/>
    <w:rsid w:val="1B063751"/>
    <w:rsid w:val="1B19785C"/>
    <w:rsid w:val="1B3E5C9A"/>
    <w:rsid w:val="1B456DAC"/>
    <w:rsid w:val="1B4D5821"/>
    <w:rsid w:val="1B506B20"/>
    <w:rsid w:val="1B5E2BC7"/>
    <w:rsid w:val="1B7B6823"/>
    <w:rsid w:val="1B9368CB"/>
    <w:rsid w:val="1B9F5541"/>
    <w:rsid w:val="1BA844EC"/>
    <w:rsid w:val="1BBB1D88"/>
    <w:rsid w:val="1BC81BD4"/>
    <w:rsid w:val="1BE74377"/>
    <w:rsid w:val="1C2F03CB"/>
    <w:rsid w:val="1CC93BFE"/>
    <w:rsid w:val="1CD014E1"/>
    <w:rsid w:val="1CD17287"/>
    <w:rsid w:val="1D3D4B6C"/>
    <w:rsid w:val="1D763FBF"/>
    <w:rsid w:val="1D8C554D"/>
    <w:rsid w:val="1DDC3AA7"/>
    <w:rsid w:val="1E652687"/>
    <w:rsid w:val="1E740E3D"/>
    <w:rsid w:val="1E9601BD"/>
    <w:rsid w:val="1EC639D0"/>
    <w:rsid w:val="1F577E8C"/>
    <w:rsid w:val="1FD3473F"/>
    <w:rsid w:val="1FF772D8"/>
    <w:rsid w:val="20611F05"/>
    <w:rsid w:val="20676F57"/>
    <w:rsid w:val="20696F86"/>
    <w:rsid w:val="20A35660"/>
    <w:rsid w:val="20A656F2"/>
    <w:rsid w:val="20DB1517"/>
    <w:rsid w:val="20E23CF1"/>
    <w:rsid w:val="20ED49CF"/>
    <w:rsid w:val="21000E6C"/>
    <w:rsid w:val="218A4DBA"/>
    <w:rsid w:val="21AF1A56"/>
    <w:rsid w:val="21F50B43"/>
    <w:rsid w:val="22077A2C"/>
    <w:rsid w:val="22173A08"/>
    <w:rsid w:val="228A207E"/>
    <w:rsid w:val="22931CBD"/>
    <w:rsid w:val="229A4B54"/>
    <w:rsid w:val="22CE2273"/>
    <w:rsid w:val="230E380E"/>
    <w:rsid w:val="2342175B"/>
    <w:rsid w:val="23550DDA"/>
    <w:rsid w:val="23680A5A"/>
    <w:rsid w:val="23A80AC7"/>
    <w:rsid w:val="23CA746B"/>
    <w:rsid w:val="243954FA"/>
    <w:rsid w:val="249D64E3"/>
    <w:rsid w:val="24AC0354"/>
    <w:rsid w:val="24BE64AF"/>
    <w:rsid w:val="24F72435"/>
    <w:rsid w:val="250D0117"/>
    <w:rsid w:val="2528581A"/>
    <w:rsid w:val="257C02C3"/>
    <w:rsid w:val="259C1EC2"/>
    <w:rsid w:val="25B4606C"/>
    <w:rsid w:val="25BE0B79"/>
    <w:rsid w:val="25EB7532"/>
    <w:rsid w:val="2612329B"/>
    <w:rsid w:val="26956C88"/>
    <w:rsid w:val="26BA3942"/>
    <w:rsid w:val="26BB4563"/>
    <w:rsid w:val="26C251ED"/>
    <w:rsid w:val="26F41006"/>
    <w:rsid w:val="27066ABD"/>
    <w:rsid w:val="272A6CB6"/>
    <w:rsid w:val="27312FD9"/>
    <w:rsid w:val="277A44FC"/>
    <w:rsid w:val="27DE49F4"/>
    <w:rsid w:val="27F013CD"/>
    <w:rsid w:val="27F87A4A"/>
    <w:rsid w:val="282D549E"/>
    <w:rsid w:val="2834131B"/>
    <w:rsid w:val="29070CA4"/>
    <w:rsid w:val="293A0FB9"/>
    <w:rsid w:val="293F5F92"/>
    <w:rsid w:val="29641691"/>
    <w:rsid w:val="296F5A87"/>
    <w:rsid w:val="29F53996"/>
    <w:rsid w:val="2A121B2B"/>
    <w:rsid w:val="2A351898"/>
    <w:rsid w:val="2A7243B0"/>
    <w:rsid w:val="2ABD72F2"/>
    <w:rsid w:val="2ABE0149"/>
    <w:rsid w:val="2AC3060C"/>
    <w:rsid w:val="2ACA39F3"/>
    <w:rsid w:val="2ACA4750"/>
    <w:rsid w:val="2AE61B98"/>
    <w:rsid w:val="2AFF2989"/>
    <w:rsid w:val="2B58235D"/>
    <w:rsid w:val="2B631E5A"/>
    <w:rsid w:val="2B72187D"/>
    <w:rsid w:val="2B894F82"/>
    <w:rsid w:val="2B9C45EB"/>
    <w:rsid w:val="2BDD949C"/>
    <w:rsid w:val="2BE53676"/>
    <w:rsid w:val="2BE81F4B"/>
    <w:rsid w:val="2BF65FAD"/>
    <w:rsid w:val="2BFD14D5"/>
    <w:rsid w:val="2C343834"/>
    <w:rsid w:val="2C3F61E4"/>
    <w:rsid w:val="2C5915F8"/>
    <w:rsid w:val="2C821B92"/>
    <w:rsid w:val="2C9A5328"/>
    <w:rsid w:val="2D14006F"/>
    <w:rsid w:val="2D161CCB"/>
    <w:rsid w:val="2D1661CF"/>
    <w:rsid w:val="2D2D07EF"/>
    <w:rsid w:val="2D417C7D"/>
    <w:rsid w:val="2D4B325E"/>
    <w:rsid w:val="2EAF6397"/>
    <w:rsid w:val="2ED2527F"/>
    <w:rsid w:val="2EF91348"/>
    <w:rsid w:val="2F6E4D84"/>
    <w:rsid w:val="2F761EC9"/>
    <w:rsid w:val="2F793DEE"/>
    <w:rsid w:val="2F802CC0"/>
    <w:rsid w:val="2FA53EF3"/>
    <w:rsid w:val="2FA55D82"/>
    <w:rsid w:val="30006A21"/>
    <w:rsid w:val="30060926"/>
    <w:rsid w:val="301456C4"/>
    <w:rsid w:val="301F7C97"/>
    <w:rsid w:val="30217773"/>
    <w:rsid w:val="304D7FA4"/>
    <w:rsid w:val="311E3306"/>
    <w:rsid w:val="31782CA4"/>
    <w:rsid w:val="31A61389"/>
    <w:rsid w:val="31A73859"/>
    <w:rsid w:val="32121B9F"/>
    <w:rsid w:val="321E6981"/>
    <w:rsid w:val="325C6375"/>
    <w:rsid w:val="3274630C"/>
    <w:rsid w:val="32940282"/>
    <w:rsid w:val="32E5376F"/>
    <w:rsid w:val="332F5268"/>
    <w:rsid w:val="33347831"/>
    <w:rsid w:val="333B10A1"/>
    <w:rsid w:val="337A2A7C"/>
    <w:rsid w:val="33837BFD"/>
    <w:rsid w:val="338E3467"/>
    <w:rsid w:val="33BF640D"/>
    <w:rsid w:val="340A7470"/>
    <w:rsid w:val="34220618"/>
    <w:rsid w:val="34244515"/>
    <w:rsid w:val="348D0233"/>
    <w:rsid w:val="34F80063"/>
    <w:rsid w:val="353904A4"/>
    <w:rsid w:val="35717CBC"/>
    <w:rsid w:val="357BB1FB"/>
    <w:rsid w:val="35B57D17"/>
    <w:rsid w:val="35D209DD"/>
    <w:rsid w:val="3617210A"/>
    <w:rsid w:val="363A7AB7"/>
    <w:rsid w:val="36595F6C"/>
    <w:rsid w:val="36721AB0"/>
    <w:rsid w:val="368D6026"/>
    <w:rsid w:val="36AF42BA"/>
    <w:rsid w:val="36DA728E"/>
    <w:rsid w:val="36E46F2F"/>
    <w:rsid w:val="36E90D9C"/>
    <w:rsid w:val="3716326B"/>
    <w:rsid w:val="376C6FC9"/>
    <w:rsid w:val="37890332"/>
    <w:rsid w:val="37D71537"/>
    <w:rsid w:val="38744E5E"/>
    <w:rsid w:val="388879AF"/>
    <w:rsid w:val="38A76923"/>
    <w:rsid w:val="38F2777E"/>
    <w:rsid w:val="38FB69D6"/>
    <w:rsid w:val="397165FD"/>
    <w:rsid w:val="39910700"/>
    <w:rsid w:val="39A07B6A"/>
    <w:rsid w:val="39A5242B"/>
    <w:rsid w:val="39B27A37"/>
    <w:rsid w:val="39B5652B"/>
    <w:rsid w:val="39CA524E"/>
    <w:rsid w:val="3A040C30"/>
    <w:rsid w:val="3A63735B"/>
    <w:rsid w:val="3A887993"/>
    <w:rsid w:val="3AB820BA"/>
    <w:rsid w:val="3AC14A92"/>
    <w:rsid w:val="3AE2780B"/>
    <w:rsid w:val="3B2A0EFC"/>
    <w:rsid w:val="3B851E35"/>
    <w:rsid w:val="3B961907"/>
    <w:rsid w:val="3B9B6557"/>
    <w:rsid w:val="3BB15773"/>
    <w:rsid w:val="3BD37119"/>
    <w:rsid w:val="3C915DFE"/>
    <w:rsid w:val="3C991817"/>
    <w:rsid w:val="3CC53D5D"/>
    <w:rsid w:val="3D464014"/>
    <w:rsid w:val="3D4B77A2"/>
    <w:rsid w:val="3DE45ED3"/>
    <w:rsid w:val="3E131DFD"/>
    <w:rsid w:val="3E4075EA"/>
    <w:rsid w:val="3E4A10FE"/>
    <w:rsid w:val="3E836741"/>
    <w:rsid w:val="3EF939BD"/>
    <w:rsid w:val="3F504AF7"/>
    <w:rsid w:val="3F6049B4"/>
    <w:rsid w:val="3F78051A"/>
    <w:rsid w:val="3F9A2895"/>
    <w:rsid w:val="3FB60916"/>
    <w:rsid w:val="3FF252CB"/>
    <w:rsid w:val="402975CF"/>
    <w:rsid w:val="40AC6BB1"/>
    <w:rsid w:val="40B63B26"/>
    <w:rsid w:val="40EA1C0C"/>
    <w:rsid w:val="40EA53B3"/>
    <w:rsid w:val="40F61539"/>
    <w:rsid w:val="41116D71"/>
    <w:rsid w:val="41741C0A"/>
    <w:rsid w:val="41B655AB"/>
    <w:rsid w:val="41FA356B"/>
    <w:rsid w:val="420723E4"/>
    <w:rsid w:val="42747FA6"/>
    <w:rsid w:val="42972429"/>
    <w:rsid w:val="42F90FC4"/>
    <w:rsid w:val="430F1D00"/>
    <w:rsid w:val="435F2DA8"/>
    <w:rsid w:val="437445BC"/>
    <w:rsid w:val="43C84FB5"/>
    <w:rsid w:val="440067A1"/>
    <w:rsid w:val="44395B7B"/>
    <w:rsid w:val="445C6D68"/>
    <w:rsid w:val="44615F81"/>
    <w:rsid w:val="44F04B86"/>
    <w:rsid w:val="44FF20C1"/>
    <w:rsid w:val="45001B22"/>
    <w:rsid w:val="45240D30"/>
    <w:rsid w:val="45360DE3"/>
    <w:rsid w:val="45400EF5"/>
    <w:rsid w:val="45577880"/>
    <w:rsid w:val="4562724E"/>
    <w:rsid w:val="457B7C93"/>
    <w:rsid w:val="458F0ED5"/>
    <w:rsid w:val="45B73C6C"/>
    <w:rsid w:val="45E62984"/>
    <w:rsid w:val="45E84ACF"/>
    <w:rsid w:val="46752F28"/>
    <w:rsid w:val="467C5ABA"/>
    <w:rsid w:val="46CE0156"/>
    <w:rsid w:val="470538C5"/>
    <w:rsid w:val="470B044B"/>
    <w:rsid w:val="47440CC0"/>
    <w:rsid w:val="47461E4A"/>
    <w:rsid w:val="474863A4"/>
    <w:rsid w:val="47491858"/>
    <w:rsid w:val="47696C0E"/>
    <w:rsid w:val="47AA535E"/>
    <w:rsid w:val="47AD4B7A"/>
    <w:rsid w:val="47B660EB"/>
    <w:rsid w:val="47B9638C"/>
    <w:rsid w:val="47CF7F7A"/>
    <w:rsid w:val="482609B1"/>
    <w:rsid w:val="489F6E38"/>
    <w:rsid w:val="48B41112"/>
    <w:rsid w:val="48B763A3"/>
    <w:rsid w:val="48D17B2E"/>
    <w:rsid w:val="48F2644B"/>
    <w:rsid w:val="4957504A"/>
    <w:rsid w:val="497D27DF"/>
    <w:rsid w:val="49A77426"/>
    <w:rsid w:val="49A86F31"/>
    <w:rsid w:val="49C44D9C"/>
    <w:rsid w:val="49CF765D"/>
    <w:rsid w:val="49D872AA"/>
    <w:rsid w:val="4A103403"/>
    <w:rsid w:val="4A53644E"/>
    <w:rsid w:val="4A8F3502"/>
    <w:rsid w:val="4B2038D0"/>
    <w:rsid w:val="4B21288E"/>
    <w:rsid w:val="4B5D20B0"/>
    <w:rsid w:val="4BD777FC"/>
    <w:rsid w:val="4BEE44E3"/>
    <w:rsid w:val="4C2204BA"/>
    <w:rsid w:val="4C5165CE"/>
    <w:rsid w:val="4C71423C"/>
    <w:rsid w:val="4C922CB9"/>
    <w:rsid w:val="4C9C1DCA"/>
    <w:rsid w:val="4CBB2360"/>
    <w:rsid w:val="4CBB51CC"/>
    <w:rsid w:val="4CD2511F"/>
    <w:rsid w:val="4CD46C39"/>
    <w:rsid w:val="4CD57BA1"/>
    <w:rsid w:val="4CFB6DD6"/>
    <w:rsid w:val="4D145005"/>
    <w:rsid w:val="4D3032E1"/>
    <w:rsid w:val="4D9B4D57"/>
    <w:rsid w:val="4DEEA553"/>
    <w:rsid w:val="4E555611"/>
    <w:rsid w:val="4E76562F"/>
    <w:rsid w:val="4E7C3E84"/>
    <w:rsid w:val="4E962473"/>
    <w:rsid w:val="4EAF27FF"/>
    <w:rsid w:val="4EC04CC0"/>
    <w:rsid w:val="4EDC2DF4"/>
    <w:rsid w:val="4EF630A3"/>
    <w:rsid w:val="4F980385"/>
    <w:rsid w:val="4FD55D16"/>
    <w:rsid w:val="4FE5D4EF"/>
    <w:rsid w:val="4FFE59CD"/>
    <w:rsid w:val="50003736"/>
    <w:rsid w:val="501E0DCA"/>
    <w:rsid w:val="50395B9F"/>
    <w:rsid w:val="50653ED7"/>
    <w:rsid w:val="50DA7B6D"/>
    <w:rsid w:val="50FC206C"/>
    <w:rsid w:val="511C5A7F"/>
    <w:rsid w:val="5150111E"/>
    <w:rsid w:val="51AC0D1D"/>
    <w:rsid w:val="51C32D2F"/>
    <w:rsid w:val="51F9E493"/>
    <w:rsid w:val="520D4924"/>
    <w:rsid w:val="52876DB7"/>
    <w:rsid w:val="52CB01C7"/>
    <w:rsid w:val="52FFAC12"/>
    <w:rsid w:val="53094715"/>
    <w:rsid w:val="530C5A68"/>
    <w:rsid w:val="53236AAC"/>
    <w:rsid w:val="533308D7"/>
    <w:rsid w:val="533679EE"/>
    <w:rsid w:val="537E5CE2"/>
    <w:rsid w:val="53891F21"/>
    <w:rsid w:val="53C85801"/>
    <w:rsid w:val="54103139"/>
    <w:rsid w:val="546148FC"/>
    <w:rsid w:val="549C6A20"/>
    <w:rsid w:val="54A12AAD"/>
    <w:rsid w:val="54A9479E"/>
    <w:rsid w:val="54F7603F"/>
    <w:rsid w:val="55032D3E"/>
    <w:rsid w:val="55843B09"/>
    <w:rsid w:val="55A14360"/>
    <w:rsid w:val="55B520E8"/>
    <w:rsid w:val="55B74DD9"/>
    <w:rsid w:val="55DE4511"/>
    <w:rsid w:val="55F505F7"/>
    <w:rsid w:val="55FC127B"/>
    <w:rsid w:val="5600290A"/>
    <w:rsid w:val="56467178"/>
    <w:rsid w:val="564B02AB"/>
    <w:rsid w:val="56937229"/>
    <w:rsid w:val="56A47F1F"/>
    <w:rsid w:val="56B8580C"/>
    <w:rsid w:val="56D64D40"/>
    <w:rsid w:val="57235718"/>
    <w:rsid w:val="573E3DB0"/>
    <w:rsid w:val="577575E8"/>
    <w:rsid w:val="5778776A"/>
    <w:rsid w:val="578C0440"/>
    <w:rsid w:val="578F5DE6"/>
    <w:rsid w:val="57B66E89"/>
    <w:rsid w:val="57BB1A7E"/>
    <w:rsid w:val="57DDD5C5"/>
    <w:rsid w:val="583258D7"/>
    <w:rsid w:val="58660F19"/>
    <w:rsid w:val="588263A2"/>
    <w:rsid w:val="58917B4F"/>
    <w:rsid w:val="589C5947"/>
    <w:rsid w:val="5908364E"/>
    <w:rsid w:val="591F2A23"/>
    <w:rsid w:val="593D08C8"/>
    <w:rsid w:val="593F45C0"/>
    <w:rsid w:val="59B85E9E"/>
    <w:rsid w:val="5A1750E5"/>
    <w:rsid w:val="5AA33120"/>
    <w:rsid w:val="5AA65046"/>
    <w:rsid w:val="5ABC63AF"/>
    <w:rsid w:val="5AE102C5"/>
    <w:rsid w:val="5B03308F"/>
    <w:rsid w:val="5B0576B5"/>
    <w:rsid w:val="5B1C0256"/>
    <w:rsid w:val="5B76EFF4"/>
    <w:rsid w:val="5BC32884"/>
    <w:rsid w:val="5C032FE5"/>
    <w:rsid w:val="5C0337B4"/>
    <w:rsid w:val="5C0E6092"/>
    <w:rsid w:val="5C124C62"/>
    <w:rsid w:val="5C2725BD"/>
    <w:rsid w:val="5C407055"/>
    <w:rsid w:val="5C783421"/>
    <w:rsid w:val="5CA769B5"/>
    <w:rsid w:val="5CFC2F9C"/>
    <w:rsid w:val="5D43607F"/>
    <w:rsid w:val="5D594490"/>
    <w:rsid w:val="5D6C6FE9"/>
    <w:rsid w:val="5D7E16A4"/>
    <w:rsid w:val="5D9A6CC9"/>
    <w:rsid w:val="5DA37BEF"/>
    <w:rsid w:val="5DCD3989"/>
    <w:rsid w:val="5DD62DA0"/>
    <w:rsid w:val="5E02659B"/>
    <w:rsid w:val="5E0668E1"/>
    <w:rsid w:val="5E1C7208"/>
    <w:rsid w:val="5E511AC3"/>
    <w:rsid w:val="5E560E24"/>
    <w:rsid w:val="5E942E39"/>
    <w:rsid w:val="5EA11BD6"/>
    <w:rsid w:val="5ED01DB1"/>
    <w:rsid w:val="5F37FB3F"/>
    <w:rsid w:val="5F7F987B"/>
    <w:rsid w:val="5FC16BF0"/>
    <w:rsid w:val="6018542D"/>
    <w:rsid w:val="60460B2D"/>
    <w:rsid w:val="604D37FD"/>
    <w:rsid w:val="60830D38"/>
    <w:rsid w:val="608725D4"/>
    <w:rsid w:val="60A26B9A"/>
    <w:rsid w:val="60BC0F3E"/>
    <w:rsid w:val="60C23DEF"/>
    <w:rsid w:val="60D229A4"/>
    <w:rsid w:val="60F31DD5"/>
    <w:rsid w:val="61301A83"/>
    <w:rsid w:val="616C47EA"/>
    <w:rsid w:val="61703467"/>
    <w:rsid w:val="61EE69B6"/>
    <w:rsid w:val="61FA1424"/>
    <w:rsid w:val="61FF51EB"/>
    <w:rsid w:val="620176AD"/>
    <w:rsid w:val="62033F31"/>
    <w:rsid w:val="621F38B2"/>
    <w:rsid w:val="62383FF8"/>
    <w:rsid w:val="624F6106"/>
    <w:rsid w:val="628B229A"/>
    <w:rsid w:val="62E94D97"/>
    <w:rsid w:val="63012558"/>
    <w:rsid w:val="63055822"/>
    <w:rsid w:val="63261838"/>
    <w:rsid w:val="636A7A78"/>
    <w:rsid w:val="639643C5"/>
    <w:rsid w:val="63A9327E"/>
    <w:rsid w:val="64003B31"/>
    <w:rsid w:val="64433ACC"/>
    <w:rsid w:val="64706369"/>
    <w:rsid w:val="647A6320"/>
    <w:rsid w:val="64847B62"/>
    <w:rsid w:val="6496645F"/>
    <w:rsid w:val="649B769C"/>
    <w:rsid w:val="64C566AA"/>
    <w:rsid w:val="64DF4AEB"/>
    <w:rsid w:val="64ED75E7"/>
    <w:rsid w:val="6522052D"/>
    <w:rsid w:val="652F2272"/>
    <w:rsid w:val="65592C01"/>
    <w:rsid w:val="658D1E73"/>
    <w:rsid w:val="658E2D07"/>
    <w:rsid w:val="65964FB3"/>
    <w:rsid w:val="65AB0403"/>
    <w:rsid w:val="65AD0449"/>
    <w:rsid w:val="65DD0AAC"/>
    <w:rsid w:val="65FD0180"/>
    <w:rsid w:val="66060652"/>
    <w:rsid w:val="661A6B12"/>
    <w:rsid w:val="664461FF"/>
    <w:rsid w:val="66447676"/>
    <w:rsid w:val="664E623A"/>
    <w:rsid w:val="66547E9D"/>
    <w:rsid w:val="66884EC0"/>
    <w:rsid w:val="66E8E4E7"/>
    <w:rsid w:val="670D6FF1"/>
    <w:rsid w:val="672542C6"/>
    <w:rsid w:val="67691B20"/>
    <w:rsid w:val="67AD6D8A"/>
    <w:rsid w:val="67BE5625"/>
    <w:rsid w:val="67CA3292"/>
    <w:rsid w:val="67D51327"/>
    <w:rsid w:val="67E841A9"/>
    <w:rsid w:val="67EE6D1D"/>
    <w:rsid w:val="67F2775F"/>
    <w:rsid w:val="685E45AC"/>
    <w:rsid w:val="68705300"/>
    <w:rsid w:val="688151F8"/>
    <w:rsid w:val="68C521E7"/>
    <w:rsid w:val="69B56DAC"/>
    <w:rsid w:val="69C3636B"/>
    <w:rsid w:val="69F25FDE"/>
    <w:rsid w:val="6A0E1E76"/>
    <w:rsid w:val="6A8F29BD"/>
    <w:rsid w:val="6A95419E"/>
    <w:rsid w:val="6A987A16"/>
    <w:rsid w:val="6AE10A20"/>
    <w:rsid w:val="6AE34C36"/>
    <w:rsid w:val="6B2F1849"/>
    <w:rsid w:val="6B573C32"/>
    <w:rsid w:val="6B5B197E"/>
    <w:rsid w:val="6BDB0A81"/>
    <w:rsid w:val="6BF76810"/>
    <w:rsid w:val="6BFD2F83"/>
    <w:rsid w:val="6C4C4578"/>
    <w:rsid w:val="6C5B781B"/>
    <w:rsid w:val="6CC6044A"/>
    <w:rsid w:val="6CD60D22"/>
    <w:rsid w:val="6CDF5544"/>
    <w:rsid w:val="6D2278ED"/>
    <w:rsid w:val="6D301F46"/>
    <w:rsid w:val="6D435AAE"/>
    <w:rsid w:val="6DA158A8"/>
    <w:rsid w:val="6DB9BDDB"/>
    <w:rsid w:val="6DE61A6C"/>
    <w:rsid w:val="6DF16C83"/>
    <w:rsid w:val="6E0D7414"/>
    <w:rsid w:val="6EBFA756"/>
    <w:rsid w:val="6EC5724B"/>
    <w:rsid w:val="6ED82A91"/>
    <w:rsid w:val="6F093B47"/>
    <w:rsid w:val="6F0A2684"/>
    <w:rsid w:val="6F20702E"/>
    <w:rsid w:val="6F4B1180"/>
    <w:rsid w:val="6F940E00"/>
    <w:rsid w:val="6FB61868"/>
    <w:rsid w:val="6FD668F8"/>
    <w:rsid w:val="6FFF9CA7"/>
    <w:rsid w:val="700650AC"/>
    <w:rsid w:val="700A3CC2"/>
    <w:rsid w:val="701D01C8"/>
    <w:rsid w:val="70705F3C"/>
    <w:rsid w:val="70B56D02"/>
    <w:rsid w:val="70F952E5"/>
    <w:rsid w:val="71332D56"/>
    <w:rsid w:val="713B5985"/>
    <w:rsid w:val="71611D07"/>
    <w:rsid w:val="716D0F26"/>
    <w:rsid w:val="71703B03"/>
    <w:rsid w:val="71753593"/>
    <w:rsid w:val="717867F7"/>
    <w:rsid w:val="719042F1"/>
    <w:rsid w:val="71BB298B"/>
    <w:rsid w:val="723C242D"/>
    <w:rsid w:val="723FB90F"/>
    <w:rsid w:val="72452EAE"/>
    <w:rsid w:val="72763662"/>
    <w:rsid w:val="727924EC"/>
    <w:rsid w:val="72A0381E"/>
    <w:rsid w:val="734D7E98"/>
    <w:rsid w:val="73A8393D"/>
    <w:rsid w:val="74374E99"/>
    <w:rsid w:val="743C4B16"/>
    <w:rsid w:val="744A6649"/>
    <w:rsid w:val="749600B3"/>
    <w:rsid w:val="74B30A1E"/>
    <w:rsid w:val="74B87D09"/>
    <w:rsid w:val="74BE5964"/>
    <w:rsid w:val="752714C3"/>
    <w:rsid w:val="75961D4F"/>
    <w:rsid w:val="76684F15"/>
    <w:rsid w:val="767D338C"/>
    <w:rsid w:val="772060F5"/>
    <w:rsid w:val="772149A5"/>
    <w:rsid w:val="774C7C6B"/>
    <w:rsid w:val="77620E5B"/>
    <w:rsid w:val="778128BD"/>
    <w:rsid w:val="77D3775C"/>
    <w:rsid w:val="77DB5E00"/>
    <w:rsid w:val="77FDF949"/>
    <w:rsid w:val="77FF3DBC"/>
    <w:rsid w:val="780D2847"/>
    <w:rsid w:val="781355AA"/>
    <w:rsid w:val="781D0027"/>
    <w:rsid w:val="781D7547"/>
    <w:rsid w:val="782770D3"/>
    <w:rsid w:val="78347B11"/>
    <w:rsid w:val="783875F7"/>
    <w:rsid w:val="78443460"/>
    <w:rsid w:val="786C7B42"/>
    <w:rsid w:val="788F0136"/>
    <w:rsid w:val="78921EBE"/>
    <w:rsid w:val="78B64AD7"/>
    <w:rsid w:val="78CC43B3"/>
    <w:rsid w:val="78E15B0E"/>
    <w:rsid w:val="793B17DC"/>
    <w:rsid w:val="795E130A"/>
    <w:rsid w:val="796110B8"/>
    <w:rsid w:val="798220F1"/>
    <w:rsid w:val="79A2131D"/>
    <w:rsid w:val="7A145B51"/>
    <w:rsid w:val="7A2465FF"/>
    <w:rsid w:val="7A2908FE"/>
    <w:rsid w:val="7A2A24FB"/>
    <w:rsid w:val="7A8C146C"/>
    <w:rsid w:val="7A987B03"/>
    <w:rsid w:val="7ABFC465"/>
    <w:rsid w:val="7B0A1B69"/>
    <w:rsid w:val="7B63580B"/>
    <w:rsid w:val="7B676453"/>
    <w:rsid w:val="7B6C17AE"/>
    <w:rsid w:val="7B7E122C"/>
    <w:rsid w:val="7B854A8A"/>
    <w:rsid w:val="7BC540E7"/>
    <w:rsid w:val="7BCD3F21"/>
    <w:rsid w:val="7BDB3A5F"/>
    <w:rsid w:val="7BF5D34F"/>
    <w:rsid w:val="7C0B1FD0"/>
    <w:rsid w:val="7C107117"/>
    <w:rsid w:val="7C140153"/>
    <w:rsid w:val="7C450F69"/>
    <w:rsid w:val="7C5A278F"/>
    <w:rsid w:val="7C7F3010"/>
    <w:rsid w:val="7C927203"/>
    <w:rsid w:val="7CBD738B"/>
    <w:rsid w:val="7CC040EC"/>
    <w:rsid w:val="7CE63E79"/>
    <w:rsid w:val="7CE71D2D"/>
    <w:rsid w:val="7D0B294A"/>
    <w:rsid w:val="7D3A3D75"/>
    <w:rsid w:val="7D5052A6"/>
    <w:rsid w:val="7D6968F0"/>
    <w:rsid w:val="7D6A4437"/>
    <w:rsid w:val="7DBF1BEB"/>
    <w:rsid w:val="7DE63248"/>
    <w:rsid w:val="7DF64195"/>
    <w:rsid w:val="7E2F794C"/>
    <w:rsid w:val="7E5018B5"/>
    <w:rsid w:val="7E7EDB53"/>
    <w:rsid w:val="7EA02C75"/>
    <w:rsid w:val="7EA928F1"/>
    <w:rsid w:val="7EAD66BB"/>
    <w:rsid w:val="7F1802BB"/>
    <w:rsid w:val="7F2A1E5D"/>
    <w:rsid w:val="7F446FEF"/>
    <w:rsid w:val="7F51026F"/>
    <w:rsid w:val="7F57A765"/>
    <w:rsid w:val="7F7D3AAD"/>
    <w:rsid w:val="7FA92BD3"/>
    <w:rsid w:val="7FADB04A"/>
    <w:rsid w:val="7FBC6D31"/>
    <w:rsid w:val="7FC32B2C"/>
    <w:rsid w:val="7FD24AEE"/>
    <w:rsid w:val="7FE5608B"/>
    <w:rsid w:val="7FF35F83"/>
    <w:rsid w:val="88EF1061"/>
    <w:rsid w:val="95FB6E26"/>
    <w:rsid w:val="96EF207A"/>
    <w:rsid w:val="AFB7CCF8"/>
    <w:rsid w:val="AFEF70E9"/>
    <w:rsid w:val="B0BB2648"/>
    <w:rsid w:val="B574A557"/>
    <w:rsid w:val="B5EFF1CB"/>
    <w:rsid w:val="B5FF65A5"/>
    <w:rsid w:val="CBC79906"/>
    <w:rsid w:val="CDBF3E4D"/>
    <w:rsid w:val="D39B8E62"/>
    <w:rsid w:val="D3DF0E00"/>
    <w:rsid w:val="DA3CA436"/>
    <w:rsid w:val="DA6F7F2C"/>
    <w:rsid w:val="DCFE86E2"/>
    <w:rsid w:val="DE99C085"/>
    <w:rsid w:val="DF9C763B"/>
    <w:rsid w:val="DFEB031C"/>
    <w:rsid w:val="E37FE1F1"/>
    <w:rsid w:val="E5D7BE56"/>
    <w:rsid w:val="E9F9E945"/>
    <w:rsid w:val="EC3F9359"/>
    <w:rsid w:val="EEF2EA67"/>
    <w:rsid w:val="EFEB1A1A"/>
    <w:rsid w:val="F2BD5D93"/>
    <w:rsid w:val="F5DBF6EF"/>
    <w:rsid w:val="F7E7E6C5"/>
    <w:rsid w:val="FBDFE925"/>
    <w:rsid w:val="FBFF2454"/>
    <w:rsid w:val="FBFFDE2E"/>
    <w:rsid w:val="FCFDB874"/>
    <w:rsid w:val="FD5DF056"/>
    <w:rsid w:val="FE7F287E"/>
    <w:rsid w:val="FEFCA4DC"/>
    <w:rsid w:val="FF358AF1"/>
    <w:rsid w:val="FF9A7E0A"/>
    <w:rsid w:val="FFBA109B"/>
    <w:rsid w:val="FFBFE6F0"/>
    <w:rsid w:val="FFEE01AF"/>
    <w:rsid w:val="FFFE0A58"/>
    <w:rsid w:val="FFFE1703"/>
    <w:rsid w:val="FFFF565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qFormat/>
    <w:locked/>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Date"/>
    <w:basedOn w:val="1"/>
    <w:next w:val="1"/>
    <w:link w:val="14"/>
    <w:semiHidden/>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style>
  <w:style w:type="paragraph" w:customStyle="1" w:styleId="12">
    <w:name w:val="List Paragraph"/>
    <w:basedOn w:val="1"/>
    <w:qFormat/>
    <w:uiPriority w:val="99"/>
    <w:pPr>
      <w:ind w:firstLine="420" w:firstLineChars="200"/>
    </w:pPr>
  </w:style>
  <w:style w:type="paragraph" w:customStyle="1" w:styleId="1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4">
    <w:name w:val="日期 Char"/>
    <w:basedOn w:val="10"/>
    <w:link w:val="4"/>
    <w:semiHidden/>
    <w:qFormat/>
    <w:locked/>
    <w:uiPriority w:val="99"/>
  </w:style>
  <w:style w:type="character" w:customStyle="1" w:styleId="15">
    <w:name w:val="页眉 Char"/>
    <w:basedOn w:val="10"/>
    <w:link w:val="7"/>
    <w:semiHidden/>
    <w:qFormat/>
    <w:locked/>
    <w:uiPriority w:val="99"/>
    <w:rPr>
      <w:sz w:val="18"/>
      <w:szCs w:val="18"/>
    </w:rPr>
  </w:style>
  <w:style w:type="character" w:customStyle="1" w:styleId="16">
    <w:name w:val="页脚 Char"/>
    <w:basedOn w:val="10"/>
    <w:link w:val="6"/>
    <w:qFormat/>
    <w:locked/>
    <w:uiPriority w:val="99"/>
    <w:rPr>
      <w:sz w:val="18"/>
      <w:szCs w:val="18"/>
    </w:rPr>
  </w:style>
  <w:style w:type="character" w:customStyle="1" w:styleId="17">
    <w:name w:val="批注框文本 Char"/>
    <w:basedOn w:val="10"/>
    <w:link w:val="5"/>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6396</Words>
  <Characters>6698</Characters>
  <Lines>1</Lines>
  <Paragraphs>1</Paragraphs>
  <TotalTime>0</TotalTime>
  <ScaleCrop>false</ScaleCrop>
  <LinksUpToDate>false</LinksUpToDate>
  <CharactersWithSpaces>7530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2020-12-06T19:06:00Z</dcterms:created>
  <dc:creator>lenovo</dc:creator>
  <cp:lastModifiedBy>Administrator</cp:lastModifiedBy>
  <cp:lastPrinted>2022-02-06T00:19:00Z</cp:lastPrinted>
  <dcterms:modified xsi:type="dcterms:W3CDTF">2025-02-11T02:38:01Z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872E1FA7C171AC74735F876757F374D5</vt:lpwstr>
  </property>
</Properties>
</file>