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3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00"/>
        <w:gridCol w:w="5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黑体_GBK" w:hAnsi="方正黑体_GBK" w:eastAsia="方正黑体_GBK" w:cs="方正黑体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pacing w:val="0"/>
                <w:w w:val="100"/>
                <w:kern w:val="0"/>
                <w:position w:val="0"/>
                <w:sz w:val="44"/>
                <w:szCs w:val="44"/>
                <w:u w:val="none"/>
                <w:lang w:val="en-US" w:eastAsia="zh-CN" w:bidi="ar"/>
              </w:rPr>
              <w:t>相关专业执法检查重点指标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重点指标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规上工业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工业总产值、营业收入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本年完成投资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限上批发零售业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商品销售额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限上住宿餐饮业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营业额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建筑业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建筑业总产值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商品房销售面积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规上服务业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营业收入、应交增值税、营业利润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能源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能源产品产量、能源产成品库存量、工业生产消费量、采用折标系数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劳动工资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从业人员工资总额、从业人员期末人数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企业研发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lang w:val="en-US" w:eastAsia="zh-CN" w:bidi="ar"/>
              </w:rPr>
              <w:t>研究开发费用合计、研究开发人员合计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headerReference r:id="rId3" w:type="default"/>
          <w:pgSz w:w="11909" w:h="16838"/>
          <w:pgMar w:top="1625" w:right="1773" w:bottom="1625" w:left="1797" w:header="0" w:footer="3" w:gutter="0"/>
          <w:cols w:space="720" w:num="1"/>
          <w:rtlGutter w:val="0"/>
          <w:docGrid w:linePitch="360" w:charSpace="0"/>
        </w:sectPr>
      </w:pPr>
    </w:p>
    <w:p/>
    <w:sectPr>
      <w:pgSz w:w="11909" w:h="16838"/>
      <w:pgMar w:top="1625" w:right="1774" w:bottom="1625" w:left="1797" w:header="0" w:footer="6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6678"/>
    <w:rsid w:val="198D3C16"/>
    <w:rsid w:val="1A5C6634"/>
    <w:rsid w:val="736F25A8"/>
    <w:rsid w:val="7F005EC2"/>
    <w:rsid w:val="FFFB6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TW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2023-04-26T00:11:00Z</dcterms:created>
  <dc:creator>uos</dc:creator>
  <cp:lastModifiedBy>Administrator</cp:lastModifiedBy>
  <dcterms:modified xsi:type="dcterms:W3CDTF">2023-04-25T08:39:47Z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